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宋体" w:hAnsi="宋体"/>
          <w:b/>
          <w:color w:val="000000" w:themeColor="text1"/>
          <w:sz w:val="52"/>
          <w:szCs w:val="52"/>
          <w14:textFill>
            <w14:solidFill>
              <w14:schemeClr w14:val="tx1"/>
            </w14:solidFill>
          </w14:textFill>
        </w:rPr>
      </w:pPr>
      <w:r>
        <w:rPr>
          <w:rFonts w:hint="eastAsia" w:ascii="宋体" w:hAnsi="宋体"/>
          <w:b/>
          <w:bCs/>
          <w:color w:val="000000" w:themeColor="text1"/>
          <w:sz w:val="52"/>
          <w:szCs w:val="52"/>
          <w14:textFill>
            <w14:solidFill>
              <w14:schemeClr w14:val="tx1"/>
            </w14:solidFill>
          </w14:textFill>
        </w:rPr>
        <w:t>货物类标准</w:t>
      </w:r>
      <w:r>
        <w:rPr>
          <w:rFonts w:hint="eastAsia" w:ascii="微软简标宋"/>
          <w:b/>
          <w:bCs/>
          <w:color w:val="000000" w:themeColor="text1"/>
          <w:sz w:val="52"/>
          <w14:textFill>
            <w14:solidFill>
              <w14:schemeClr w14:val="tx1"/>
            </w14:solidFill>
          </w14:textFill>
        </w:rPr>
        <w:t>招标文件</w:t>
      </w: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8820"/>
        </w:tabs>
        <w:spacing w:line="500" w:lineRule="exact"/>
        <w:jc w:val="right"/>
        <w:rPr>
          <w:rFonts w:ascii="微软简标宋"/>
          <w:bCs/>
          <w:color w:val="000000" w:themeColor="text1"/>
          <w:sz w:val="52"/>
          <w14:textFill>
            <w14:solidFill>
              <w14:schemeClr w14:val="tx1"/>
            </w14:solidFill>
          </w14:textFill>
        </w:rPr>
      </w:pPr>
    </w:p>
    <w:p>
      <w:pPr>
        <w:tabs>
          <w:tab w:val="left" w:pos="315"/>
          <w:tab w:val="left" w:pos="5220"/>
          <w:tab w:val="left" w:pos="8820"/>
        </w:tabs>
        <w:spacing w:line="500" w:lineRule="exact"/>
        <w:rPr>
          <w:rFonts w:ascii="微软简标宋"/>
          <w:bCs/>
          <w:color w:val="000000" w:themeColor="text1"/>
          <w:sz w:val="52"/>
          <w14:textFill>
            <w14:solidFill>
              <w14:schemeClr w14:val="tx1"/>
            </w14:solidFill>
          </w14:textFill>
        </w:rPr>
      </w:pPr>
      <w:r>
        <w:rPr>
          <w:rFonts w:ascii="微软简标宋"/>
          <w:bCs/>
          <w:color w:val="000000" w:themeColor="text1"/>
          <w:sz w:val="52"/>
          <w14:textFill>
            <w14:solidFill>
              <w14:schemeClr w14:val="tx1"/>
            </w14:solidFill>
          </w14:textFill>
        </w:rPr>
        <w:tab/>
      </w:r>
      <w:r>
        <w:rPr>
          <w:rFonts w:ascii="微软简标宋"/>
          <w:bCs/>
          <w:color w:val="000000" w:themeColor="text1"/>
          <w:sz w:val="52"/>
          <w14:textFill>
            <w14:solidFill>
              <w14:schemeClr w14:val="tx1"/>
            </w14:solidFill>
          </w14:textFill>
        </w:rPr>
        <w:tab/>
      </w:r>
    </w:p>
    <w:p>
      <w:pPr>
        <w:spacing w:line="360" w:lineRule="auto"/>
        <w:jc w:val="left"/>
        <w:rPr>
          <w:rFonts w:ascii="宋体" w:hAnsi="宋体"/>
          <w:color w:val="000000" w:themeColor="text1"/>
          <w:szCs w:val="21"/>
          <w14:textFill>
            <w14:solidFill>
              <w14:schemeClr w14:val="tx1"/>
            </w14:solidFill>
          </w14:textFill>
        </w:rPr>
      </w:pPr>
    </w:p>
    <w:p>
      <w:pPr>
        <w:widowControl/>
        <w:jc w:val="center"/>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drawing>
          <wp:inline distT="0" distB="0" distL="114300" distR="114300">
            <wp:extent cx="1349375" cy="1301750"/>
            <wp:effectExtent l="0" t="0" r="3175" b="12700"/>
            <wp:docPr id="1"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9"/>
                    <pic:cNvPicPr>
                      <a:picLocks noChangeAspect="1"/>
                    </pic:cNvPicPr>
                  </pic:nvPicPr>
                  <pic:blipFill>
                    <a:blip r:embed="rId7"/>
                    <a:stretch>
                      <a:fillRect/>
                    </a:stretch>
                  </pic:blipFill>
                  <pic:spPr>
                    <a:xfrm>
                      <a:off x="0" y="0"/>
                      <a:ext cx="1349375" cy="1301750"/>
                    </a:xfrm>
                    <a:prstGeom prst="rect">
                      <a:avLst/>
                    </a:prstGeom>
                    <a:noFill/>
                    <a:ln>
                      <a:noFill/>
                    </a:ln>
                  </pic:spPr>
                </pic:pic>
              </a:graphicData>
            </a:graphic>
          </wp:inline>
        </w:drawing>
      </w:r>
    </w:p>
    <w:p>
      <w:pPr>
        <w:tabs>
          <w:tab w:val="left" w:pos="2410"/>
        </w:tabs>
        <w:autoSpaceDE w:val="0"/>
        <w:autoSpaceDN w:val="0"/>
        <w:adjustRightInd w:val="0"/>
        <w:snapToGrid w:val="0"/>
        <w:spacing w:line="360" w:lineRule="auto"/>
        <w:rPr>
          <w:rFonts w:ascii="Arial Black" w:hAnsi="Arial Black"/>
          <w:color w:val="000000" w:themeColor="text1"/>
          <w:sz w:val="44"/>
          <w14:textFill>
            <w14:solidFill>
              <w14:schemeClr w14:val="tx1"/>
            </w14:solidFill>
          </w14:textFill>
        </w:rPr>
      </w:pPr>
    </w:p>
    <w:p>
      <w:pPr>
        <w:tabs>
          <w:tab w:val="left" w:pos="2410"/>
        </w:tabs>
        <w:autoSpaceDE w:val="0"/>
        <w:autoSpaceDN w:val="0"/>
        <w:adjustRightInd w:val="0"/>
        <w:snapToGrid w:val="0"/>
        <w:spacing w:line="360" w:lineRule="auto"/>
        <w:rPr>
          <w:rFonts w:ascii="宋体" w:hAnsi="DotumChe" w:cs="宋体"/>
          <w:b/>
          <w:color w:val="000000" w:themeColor="text1"/>
          <w:spacing w:val="20"/>
          <w:kern w:val="0"/>
          <w:sz w:val="36"/>
          <w:szCs w:val="36"/>
          <w14:textFill>
            <w14:solidFill>
              <w14:schemeClr w14:val="tx1"/>
            </w14:solidFill>
          </w14:textFill>
        </w:rPr>
      </w:pPr>
    </w:p>
    <w:p>
      <w:pPr>
        <w:tabs>
          <w:tab w:val="left" w:pos="2410"/>
        </w:tabs>
        <w:autoSpaceDE w:val="0"/>
        <w:autoSpaceDN w:val="0"/>
        <w:adjustRightInd w:val="0"/>
        <w:snapToGrid w:val="0"/>
        <w:spacing w:line="360" w:lineRule="auto"/>
        <w:ind w:left="3085" w:leftChars="608" w:hanging="1808" w:hangingChars="563"/>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项目名称：合肥体育中心游泳馆及天鹅湖全民健身中心游</w:t>
      </w:r>
    </w:p>
    <w:p>
      <w:pPr>
        <w:tabs>
          <w:tab w:val="left" w:pos="2410"/>
        </w:tabs>
        <w:autoSpaceDE w:val="0"/>
        <w:autoSpaceDN w:val="0"/>
        <w:adjustRightInd w:val="0"/>
        <w:snapToGrid w:val="0"/>
        <w:spacing w:line="360" w:lineRule="auto"/>
        <w:ind w:firstLine="2890" w:firstLineChars="9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泳馆202</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年度水处理药剂及水质养护服务</w:t>
      </w:r>
    </w:p>
    <w:p>
      <w:pPr>
        <w:tabs>
          <w:tab w:val="left" w:pos="2410"/>
        </w:tabs>
        <w:autoSpaceDE w:val="0"/>
        <w:autoSpaceDN w:val="0"/>
        <w:adjustRightInd w:val="0"/>
        <w:snapToGrid w:val="0"/>
        <w:spacing w:line="360" w:lineRule="auto"/>
        <w:ind w:firstLine="1284" w:firstLineChars="400"/>
        <w:jc w:val="left"/>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项目编号：2023TYGSCG08</w:t>
      </w:r>
    </w:p>
    <w:p>
      <w:pPr>
        <w:tabs>
          <w:tab w:val="left" w:pos="2410"/>
        </w:tabs>
        <w:autoSpaceDE w:val="0"/>
        <w:autoSpaceDN w:val="0"/>
        <w:adjustRightInd w:val="0"/>
        <w:snapToGrid w:val="0"/>
        <w:spacing w:line="360" w:lineRule="auto"/>
        <w:ind w:firstLine="1284" w:firstLineChars="400"/>
        <w:rPr>
          <w:rFonts w:hint="eastAsia"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 标 人：</w:t>
      </w:r>
      <w:r>
        <w:rPr>
          <w:rFonts w:hint="eastAsia" w:ascii="宋体" w:hAnsi="DotumChe" w:cs="宋体"/>
          <w:b/>
          <w:color w:val="000000" w:themeColor="text1"/>
          <w:spacing w:val="20"/>
          <w:kern w:val="0"/>
          <w:sz w:val="28"/>
          <w:szCs w:val="28"/>
          <w:lang w:val="en-US" w:eastAsia="zh-CN"/>
          <w14:textFill>
            <w14:solidFill>
              <w14:schemeClr w14:val="tx1"/>
            </w14:solidFill>
          </w14:textFill>
        </w:rPr>
        <w:t>合肥体育产业投资</w:t>
      </w:r>
      <w:r>
        <w:rPr>
          <w:rFonts w:hint="eastAsia" w:ascii="宋体" w:hAnsi="DotumChe" w:cs="宋体"/>
          <w:b/>
          <w:color w:val="000000" w:themeColor="text1"/>
          <w:spacing w:val="20"/>
          <w:kern w:val="0"/>
          <w:sz w:val="28"/>
          <w:szCs w:val="28"/>
          <w14:textFill>
            <w14:solidFill>
              <w14:schemeClr w14:val="tx1"/>
            </w14:solidFill>
          </w14:textFill>
        </w:rPr>
        <w:t>有限公司</w:t>
      </w:r>
    </w:p>
    <w:p>
      <w:pPr>
        <w:tabs>
          <w:tab w:val="left" w:pos="2410"/>
        </w:tabs>
        <w:autoSpaceDE w:val="0"/>
        <w:autoSpaceDN w:val="0"/>
        <w:adjustRightInd w:val="0"/>
        <w:snapToGrid w:val="0"/>
        <w:spacing w:line="360" w:lineRule="auto"/>
        <w:ind w:firstLine="1284" w:firstLineChars="400"/>
        <w:rPr>
          <w:rFonts w:ascii="宋体" w:hAnsi="DotumChe" w:cs="宋体"/>
          <w:b/>
          <w:color w:val="000000" w:themeColor="text1"/>
          <w:spacing w:val="20"/>
          <w:kern w:val="0"/>
          <w:sz w:val="28"/>
          <w:szCs w:val="28"/>
          <w14:textFill>
            <w14:solidFill>
              <w14:schemeClr w14:val="tx1"/>
            </w14:solidFill>
          </w14:textFill>
        </w:rPr>
      </w:pPr>
      <w:r>
        <w:rPr>
          <w:rFonts w:hint="eastAsia" w:ascii="宋体" w:hAnsi="DotumChe" w:cs="宋体"/>
          <w:b/>
          <w:color w:val="000000" w:themeColor="text1"/>
          <w:spacing w:val="20"/>
          <w:kern w:val="0"/>
          <w:sz w:val="28"/>
          <w:szCs w:val="28"/>
          <w14:textFill>
            <w14:solidFill>
              <w14:schemeClr w14:val="tx1"/>
            </w14:solidFill>
          </w14:textFill>
        </w:rPr>
        <w:t>招标时间：202</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年</w:t>
      </w:r>
      <w:r>
        <w:rPr>
          <w:rFonts w:hint="eastAsia" w:ascii="宋体" w:hAnsi="DotumChe" w:cs="宋体"/>
          <w:b/>
          <w:color w:val="000000" w:themeColor="text1"/>
          <w:spacing w:val="20"/>
          <w:kern w:val="0"/>
          <w:sz w:val="28"/>
          <w:szCs w:val="28"/>
          <w:lang w:val="en-US" w:eastAsia="zh-CN"/>
          <w14:textFill>
            <w14:solidFill>
              <w14:schemeClr w14:val="tx1"/>
            </w14:solidFill>
          </w14:textFill>
        </w:rPr>
        <w:t>3</w:t>
      </w:r>
      <w:r>
        <w:rPr>
          <w:rFonts w:hint="eastAsia" w:ascii="宋体" w:hAnsi="DotumChe" w:cs="宋体"/>
          <w:b/>
          <w:color w:val="000000" w:themeColor="text1"/>
          <w:spacing w:val="20"/>
          <w:kern w:val="0"/>
          <w:sz w:val="28"/>
          <w:szCs w:val="28"/>
          <w14:textFill>
            <w14:solidFill>
              <w14:schemeClr w14:val="tx1"/>
            </w14:solidFill>
          </w14:textFill>
        </w:rPr>
        <w:t>月</w:t>
      </w:r>
    </w:p>
    <w:p>
      <w:pPr>
        <w:tabs>
          <w:tab w:val="left" w:pos="2410"/>
        </w:tabs>
        <w:autoSpaceDE w:val="0"/>
        <w:autoSpaceDN w:val="0"/>
        <w:adjustRightInd w:val="0"/>
        <w:snapToGrid w:val="0"/>
        <w:spacing w:line="360" w:lineRule="auto"/>
        <w:ind w:firstLine="1257" w:firstLineChars="348"/>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pStyle w:val="2"/>
        <w:rPr>
          <w:rFonts w:ascii="宋体" w:hAnsi="DotumChe" w:cs="宋体"/>
          <w:b/>
          <w:color w:val="000000" w:themeColor="text1"/>
          <w:spacing w:val="20"/>
          <w:kern w:val="0"/>
          <w:sz w:val="32"/>
          <w:szCs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hint="eastAsia" w:ascii="黑体" w:hAnsi="宋体" w:eastAsia="黑体"/>
          <w:b/>
          <w:i w:val="0"/>
          <w:iCs w:val="0"/>
          <w:color w:val="000000" w:themeColor="text1"/>
          <w:sz w:val="32"/>
          <w14:textFill>
            <w14:solidFill>
              <w14:schemeClr w14:val="tx1"/>
            </w14:solidFill>
          </w14:textFill>
        </w:rPr>
      </w:pPr>
    </w:p>
    <w:p>
      <w:pPr>
        <w:spacing w:before="240" w:beforeLines="100" w:line="440" w:lineRule="exact"/>
        <w:jc w:val="center"/>
        <w:rPr>
          <w:rFonts w:ascii="黑体" w:hAnsi="宋体" w:eastAsia="黑体"/>
          <w:b/>
          <w:i w:val="0"/>
          <w:iCs w:val="0"/>
          <w:color w:val="000000" w:themeColor="text1"/>
          <w:sz w:val="32"/>
          <w14:textFill>
            <w14:solidFill>
              <w14:schemeClr w14:val="tx1"/>
            </w14:solidFill>
          </w14:textFill>
        </w:rPr>
      </w:pPr>
      <w:r>
        <w:rPr>
          <w:rFonts w:hint="eastAsia" w:ascii="黑体" w:hAnsi="宋体" w:eastAsia="黑体"/>
          <w:b/>
          <w:i w:val="0"/>
          <w:iCs w:val="0"/>
          <w:color w:val="000000" w:themeColor="text1"/>
          <w:sz w:val="32"/>
          <w14:textFill>
            <w14:solidFill>
              <w14:schemeClr w14:val="tx1"/>
            </w14:solidFill>
          </w14:textFill>
        </w:rPr>
        <w:t>目    录</w:t>
      </w:r>
    </w:p>
    <w:p>
      <w:pPr>
        <w:pStyle w:val="34"/>
        <w:tabs>
          <w:tab w:val="right" w:leader="dot" w:pos="9413"/>
        </w:tabs>
        <w:rPr>
          <w:i w:val="0"/>
          <w:iCs w:val="0"/>
        </w:rPr>
      </w:pPr>
      <w:bookmarkStart w:id="0" w:name="_Hlt526418134"/>
      <w:bookmarkEnd w:id="0"/>
      <w:bookmarkStart w:id="1" w:name="_Hlt519045295"/>
      <w:bookmarkEnd w:id="1"/>
      <w:bookmarkStart w:id="2" w:name="_Hlt533241375"/>
      <w:bookmarkEnd w:id="2"/>
      <w:r>
        <w:rPr>
          <w:rFonts w:hint="eastAsia" w:ascii="宋体" w:hAnsi="宋体" w:cs="宋体"/>
          <w:i w:val="0"/>
          <w:iCs w:val="0"/>
          <w:color w:val="000000" w:themeColor="text1"/>
          <w:sz w:val="28"/>
          <w:szCs w:val="28"/>
          <w14:textFill>
            <w14:solidFill>
              <w14:schemeClr w14:val="tx1"/>
            </w14:solidFill>
          </w14:textFill>
        </w:rPr>
        <w:fldChar w:fldCharType="begin"/>
      </w:r>
      <w:r>
        <w:rPr>
          <w:rFonts w:hint="eastAsia" w:ascii="宋体" w:hAnsi="宋体" w:cs="宋体"/>
          <w:i w:val="0"/>
          <w:iCs w:val="0"/>
          <w:color w:val="000000" w:themeColor="text1"/>
          <w:sz w:val="28"/>
          <w:szCs w:val="28"/>
          <w14:textFill>
            <w14:solidFill>
              <w14:schemeClr w14:val="tx1"/>
            </w14:solidFill>
          </w14:textFill>
        </w:rPr>
        <w:instrText xml:space="preserve">TOC \o "1-3" \h \u </w:instrText>
      </w:r>
      <w:r>
        <w:rPr>
          <w:rFonts w:hint="eastAsia" w:ascii="宋体" w:hAnsi="宋体" w:cs="宋体"/>
          <w:i w:val="0"/>
          <w:iCs w:val="0"/>
          <w:color w:val="000000" w:themeColor="text1"/>
          <w:sz w:val="28"/>
          <w:szCs w:val="28"/>
          <w14:textFill>
            <w14:solidFill>
              <w14:schemeClr w14:val="tx1"/>
            </w14:solidFill>
          </w14:textFill>
        </w:rPr>
        <w:fldChar w:fldCharType="separate"/>
      </w: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_Toc16593 </w:instrText>
      </w:r>
      <w:r>
        <w:rPr>
          <w:rFonts w:hint="eastAsia" w:ascii="宋体" w:hAnsi="宋体" w:cs="宋体"/>
          <w:i w:val="0"/>
          <w:iCs w:val="0"/>
          <w:szCs w:val="28"/>
        </w:rPr>
        <w:fldChar w:fldCharType="separate"/>
      </w:r>
      <w:r>
        <w:rPr>
          <w:rFonts w:hint="eastAsia" w:ascii="宋体" w:hAnsi="宋体"/>
          <w:bCs/>
          <w:i w:val="0"/>
          <w:iCs w:val="0"/>
          <w:szCs w:val="32"/>
        </w:rPr>
        <w:t>第一章 投标邀请（招标公告）</w:t>
      </w:r>
      <w:r>
        <w:rPr>
          <w:i w:val="0"/>
          <w:iCs w:val="0"/>
        </w:rPr>
        <w:tab/>
      </w:r>
      <w:r>
        <w:rPr>
          <w:i w:val="0"/>
          <w:iCs w:val="0"/>
        </w:rPr>
        <w:fldChar w:fldCharType="begin"/>
      </w:r>
      <w:r>
        <w:rPr>
          <w:i w:val="0"/>
          <w:iCs w:val="0"/>
        </w:rPr>
        <w:instrText xml:space="preserve"> PAGEREF _Toc16593 \h </w:instrText>
      </w:r>
      <w:r>
        <w:rPr>
          <w:i w:val="0"/>
          <w:iCs w:val="0"/>
        </w:rPr>
        <w:fldChar w:fldCharType="separate"/>
      </w:r>
      <w:r>
        <w:rPr>
          <w:i w:val="0"/>
          <w:iCs w:val="0"/>
        </w:rPr>
        <w:t>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_Toc5822 </w:instrText>
      </w:r>
      <w:r>
        <w:rPr>
          <w:rFonts w:hint="eastAsia" w:ascii="宋体" w:hAnsi="宋体" w:cs="宋体"/>
          <w:i w:val="0"/>
          <w:iCs w:val="0"/>
          <w:szCs w:val="28"/>
        </w:rPr>
        <w:fldChar w:fldCharType="separate"/>
      </w:r>
      <w:r>
        <w:rPr>
          <w:rFonts w:hint="eastAsia" w:ascii="宋体" w:hAnsi="宋体"/>
          <w:bCs/>
          <w:i w:val="0"/>
          <w:iCs w:val="0"/>
          <w:szCs w:val="32"/>
        </w:rPr>
        <w:t>第二章 投标人须知前附表</w:t>
      </w:r>
      <w:r>
        <w:rPr>
          <w:i w:val="0"/>
          <w:iCs w:val="0"/>
        </w:rPr>
        <w:tab/>
      </w:r>
      <w:r>
        <w:rPr>
          <w:i w:val="0"/>
          <w:iCs w:val="0"/>
        </w:rPr>
        <w:fldChar w:fldCharType="begin"/>
      </w:r>
      <w:r>
        <w:rPr>
          <w:i w:val="0"/>
          <w:iCs w:val="0"/>
        </w:rPr>
        <w:instrText xml:space="preserve"> PAGEREF _Toc5822 \h </w:instrText>
      </w:r>
      <w:r>
        <w:rPr>
          <w:i w:val="0"/>
          <w:iCs w:val="0"/>
        </w:rPr>
        <w:fldChar w:fldCharType="separate"/>
      </w:r>
      <w:r>
        <w:rPr>
          <w:i w:val="0"/>
          <w:iCs w:val="0"/>
        </w:rPr>
        <w:t>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_Toc25871 </w:instrText>
      </w:r>
      <w:r>
        <w:rPr>
          <w:rFonts w:hint="eastAsia" w:ascii="宋体" w:hAnsi="宋体" w:cs="宋体"/>
          <w:i w:val="0"/>
          <w:iCs w:val="0"/>
          <w:szCs w:val="28"/>
        </w:rPr>
        <w:fldChar w:fldCharType="separate"/>
      </w:r>
      <w:r>
        <w:rPr>
          <w:rFonts w:hint="eastAsia" w:ascii="宋体" w:hAnsi="宋体"/>
          <w:i w:val="0"/>
          <w:iCs w:val="0"/>
        </w:rPr>
        <w:t>第三章 投标人须知</w:t>
      </w:r>
      <w:r>
        <w:rPr>
          <w:i w:val="0"/>
          <w:iCs w:val="0"/>
        </w:rPr>
        <w:tab/>
      </w:r>
      <w:r>
        <w:rPr>
          <w:i w:val="0"/>
          <w:iCs w:val="0"/>
        </w:rPr>
        <w:fldChar w:fldCharType="begin"/>
      </w:r>
      <w:r>
        <w:rPr>
          <w:i w:val="0"/>
          <w:iCs w:val="0"/>
        </w:rPr>
        <w:instrText xml:space="preserve"> PAGEREF _Toc25871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_Toc23746 </w:instrText>
      </w:r>
      <w:r>
        <w:rPr>
          <w:rFonts w:hint="eastAsia" w:ascii="宋体" w:hAnsi="宋体" w:cs="宋体"/>
          <w:i w:val="0"/>
          <w:iCs w:val="0"/>
          <w:szCs w:val="28"/>
        </w:rPr>
        <w:fldChar w:fldCharType="separate"/>
      </w:r>
      <w:r>
        <w:rPr>
          <w:rFonts w:hint="eastAsia" w:ascii="宋体" w:hAnsi="宋体"/>
          <w:bCs/>
          <w:i w:val="0"/>
          <w:iCs w:val="0"/>
          <w:szCs w:val="32"/>
        </w:rPr>
        <w:t>一．投标文件的编制</w:t>
      </w:r>
      <w:r>
        <w:rPr>
          <w:i w:val="0"/>
          <w:iCs w:val="0"/>
        </w:rPr>
        <w:tab/>
      </w:r>
      <w:r>
        <w:rPr>
          <w:i w:val="0"/>
          <w:iCs w:val="0"/>
        </w:rPr>
        <w:fldChar w:fldCharType="begin"/>
      </w:r>
      <w:r>
        <w:rPr>
          <w:i w:val="0"/>
          <w:iCs w:val="0"/>
        </w:rPr>
        <w:instrText xml:space="preserve"> PAGEREF _Toc23746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_Toc5344 </w:instrText>
      </w:r>
      <w:r>
        <w:rPr>
          <w:rFonts w:hint="eastAsia" w:ascii="宋体" w:hAnsi="宋体" w:cs="宋体"/>
          <w:i w:val="0"/>
          <w:iCs w:val="0"/>
          <w:szCs w:val="28"/>
        </w:rPr>
        <w:fldChar w:fldCharType="separate"/>
      </w:r>
      <w:r>
        <w:rPr>
          <w:rFonts w:hint="eastAsia" w:ascii="宋体" w:hAnsi="宋体"/>
          <w:bCs/>
          <w:i w:val="0"/>
          <w:iCs w:val="0"/>
          <w:szCs w:val="32"/>
        </w:rPr>
        <w:t>二．投标保证金的缴纳</w:t>
      </w:r>
      <w:r>
        <w:rPr>
          <w:i w:val="0"/>
          <w:iCs w:val="0"/>
        </w:rPr>
        <w:tab/>
      </w:r>
      <w:r>
        <w:rPr>
          <w:i w:val="0"/>
          <w:iCs w:val="0"/>
        </w:rPr>
        <w:fldChar w:fldCharType="begin"/>
      </w:r>
      <w:r>
        <w:rPr>
          <w:i w:val="0"/>
          <w:iCs w:val="0"/>
        </w:rPr>
        <w:instrText xml:space="preserve"> PAGEREF _Toc5344 \h </w:instrText>
      </w:r>
      <w:r>
        <w:rPr>
          <w:i w:val="0"/>
          <w:iCs w:val="0"/>
        </w:rPr>
        <w:fldChar w:fldCharType="separate"/>
      </w:r>
      <w:r>
        <w:rPr>
          <w:i w:val="0"/>
          <w:iCs w:val="0"/>
        </w:rPr>
        <w:t>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_Toc31055 </w:instrText>
      </w:r>
      <w:r>
        <w:rPr>
          <w:rFonts w:hint="eastAsia" w:ascii="宋体" w:hAnsi="宋体" w:cs="宋体"/>
          <w:i w:val="0"/>
          <w:iCs w:val="0"/>
          <w:szCs w:val="28"/>
        </w:rPr>
        <w:fldChar w:fldCharType="separate"/>
      </w:r>
      <w:r>
        <w:rPr>
          <w:rFonts w:hint="eastAsia" w:ascii="宋体" w:hAnsi="宋体"/>
          <w:bCs/>
          <w:i w:val="0"/>
          <w:iCs w:val="0"/>
          <w:szCs w:val="32"/>
        </w:rPr>
        <w:t>三．投标文件的递交</w:t>
      </w:r>
      <w:r>
        <w:rPr>
          <w:i w:val="0"/>
          <w:iCs w:val="0"/>
        </w:rPr>
        <w:tab/>
      </w:r>
      <w:r>
        <w:rPr>
          <w:i w:val="0"/>
          <w:iCs w:val="0"/>
        </w:rPr>
        <w:fldChar w:fldCharType="begin"/>
      </w:r>
      <w:r>
        <w:rPr>
          <w:i w:val="0"/>
          <w:iCs w:val="0"/>
        </w:rPr>
        <w:instrText xml:space="preserve"> PAGEREF _Toc31055 \h </w:instrText>
      </w:r>
      <w:r>
        <w:rPr>
          <w:i w:val="0"/>
          <w:iCs w:val="0"/>
        </w:rPr>
        <w:fldChar w:fldCharType="separate"/>
      </w:r>
      <w:r>
        <w:rPr>
          <w:i w:val="0"/>
          <w:iCs w:val="0"/>
        </w:rPr>
        <w:t>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_Toc9817 </w:instrText>
      </w:r>
      <w:r>
        <w:rPr>
          <w:rFonts w:hint="eastAsia" w:ascii="宋体" w:hAnsi="宋体" w:cs="宋体"/>
          <w:i w:val="0"/>
          <w:iCs w:val="0"/>
          <w:szCs w:val="28"/>
        </w:rPr>
        <w:fldChar w:fldCharType="separate"/>
      </w:r>
      <w:r>
        <w:rPr>
          <w:rFonts w:hint="eastAsia" w:ascii="宋体" w:hAnsi="宋体"/>
          <w:bCs/>
          <w:i w:val="0"/>
          <w:iCs w:val="0"/>
          <w:szCs w:val="32"/>
        </w:rPr>
        <w:t>四．开标、评标及定标</w:t>
      </w:r>
      <w:r>
        <w:rPr>
          <w:i w:val="0"/>
          <w:iCs w:val="0"/>
        </w:rPr>
        <w:tab/>
      </w:r>
      <w:r>
        <w:rPr>
          <w:i w:val="0"/>
          <w:iCs w:val="0"/>
        </w:rPr>
        <w:fldChar w:fldCharType="begin"/>
      </w:r>
      <w:r>
        <w:rPr>
          <w:i w:val="0"/>
          <w:iCs w:val="0"/>
        </w:rPr>
        <w:instrText xml:space="preserve"> PAGEREF _Toc9817 \h </w:instrText>
      </w:r>
      <w:r>
        <w:rPr>
          <w:i w:val="0"/>
          <w:iCs w:val="0"/>
        </w:rPr>
        <w:fldChar w:fldCharType="separate"/>
      </w:r>
      <w:r>
        <w:rPr>
          <w:i w:val="0"/>
          <w:iCs w:val="0"/>
        </w:rPr>
        <w:t>10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_Toc20006 </w:instrText>
      </w:r>
      <w:r>
        <w:rPr>
          <w:rFonts w:hint="eastAsia" w:ascii="宋体" w:hAnsi="宋体" w:cs="宋体"/>
          <w:i w:val="0"/>
          <w:iCs w:val="0"/>
          <w:szCs w:val="28"/>
        </w:rPr>
        <w:fldChar w:fldCharType="separate"/>
      </w:r>
      <w:r>
        <w:rPr>
          <w:rFonts w:hint="eastAsia" w:ascii="宋体" w:hAnsi="宋体"/>
          <w:bCs/>
          <w:i w:val="0"/>
          <w:iCs w:val="0"/>
          <w:szCs w:val="32"/>
        </w:rPr>
        <w:t>六．投标文件的澄清</w:t>
      </w:r>
      <w:r>
        <w:rPr>
          <w:i w:val="0"/>
          <w:iCs w:val="0"/>
        </w:rPr>
        <w:tab/>
      </w:r>
      <w:r>
        <w:rPr>
          <w:i w:val="0"/>
          <w:iCs w:val="0"/>
        </w:rPr>
        <w:fldChar w:fldCharType="begin"/>
      </w:r>
      <w:r>
        <w:rPr>
          <w:i w:val="0"/>
          <w:iCs w:val="0"/>
        </w:rPr>
        <w:instrText xml:space="preserve"> PAGEREF _Toc20006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_Toc20524 </w:instrText>
      </w:r>
      <w:r>
        <w:rPr>
          <w:rFonts w:hint="eastAsia" w:ascii="宋体" w:hAnsi="宋体" w:cs="宋体"/>
          <w:i w:val="0"/>
          <w:iCs w:val="0"/>
          <w:szCs w:val="28"/>
        </w:rPr>
        <w:fldChar w:fldCharType="separate"/>
      </w:r>
      <w:r>
        <w:rPr>
          <w:rFonts w:hint="eastAsia" w:ascii="宋体" w:hAnsi="宋体"/>
          <w:bCs/>
          <w:i w:val="0"/>
          <w:iCs w:val="0"/>
          <w:szCs w:val="32"/>
        </w:rPr>
        <w:t>七.中标通知书</w:t>
      </w:r>
      <w:r>
        <w:rPr>
          <w:i w:val="0"/>
          <w:iCs w:val="0"/>
        </w:rPr>
        <w:tab/>
      </w:r>
      <w:r>
        <w:rPr>
          <w:i w:val="0"/>
          <w:iCs w:val="0"/>
        </w:rPr>
        <w:fldChar w:fldCharType="begin"/>
      </w:r>
      <w:r>
        <w:rPr>
          <w:i w:val="0"/>
          <w:iCs w:val="0"/>
        </w:rPr>
        <w:instrText xml:space="preserve"> PAGEREF _Toc20524 \h </w:instrText>
      </w:r>
      <w:r>
        <w:rPr>
          <w:i w:val="0"/>
          <w:iCs w:val="0"/>
        </w:rPr>
        <w:fldChar w:fldCharType="separate"/>
      </w:r>
      <w:r>
        <w:rPr>
          <w:i w:val="0"/>
          <w:iCs w:val="0"/>
        </w:rPr>
        <w:t>12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_Toc2884 </w:instrText>
      </w:r>
      <w:r>
        <w:rPr>
          <w:rFonts w:hint="eastAsia" w:ascii="宋体" w:hAnsi="宋体" w:cs="宋体"/>
          <w:i w:val="0"/>
          <w:iCs w:val="0"/>
          <w:szCs w:val="28"/>
        </w:rPr>
        <w:fldChar w:fldCharType="separate"/>
      </w:r>
      <w:r>
        <w:rPr>
          <w:rFonts w:hint="eastAsia" w:ascii="宋体" w:hAnsi="宋体"/>
          <w:bCs/>
          <w:i w:val="0"/>
          <w:iCs w:val="0"/>
          <w:szCs w:val="32"/>
        </w:rPr>
        <w:t>八.异议处理</w:t>
      </w:r>
      <w:r>
        <w:rPr>
          <w:i w:val="0"/>
          <w:iCs w:val="0"/>
        </w:rPr>
        <w:tab/>
      </w:r>
      <w:r>
        <w:rPr>
          <w:i w:val="0"/>
          <w:iCs w:val="0"/>
        </w:rPr>
        <w:fldChar w:fldCharType="begin"/>
      </w:r>
      <w:r>
        <w:rPr>
          <w:i w:val="0"/>
          <w:iCs w:val="0"/>
        </w:rPr>
        <w:instrText xml:space="preserve"> PAGEREF _Toc2884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_Toc20014 </w:instrText>
      </w:r>
      <w:r>
        <w:rPr>
          <w:rFonts w:hint="eastAsia" w:ascii="宋体" w:hAnsi="宋体" w:cs="宋体"/>
          <w:i w:val="0"/>
          <w:iCs w:val="0"/>
          <w:szCs w:val="28"/>
        </w:rPr>
        <w:fldChar w:fldCharType="separate"/>
      </w:r>
      <w:r>
        <w:rPr>
          <w:rFonts w:hint="eastAsia" w:ascii="宋体" w:hAnsi="宋体"/>
          <w:bCs/>
          <w:i w:val="0"/>
          <w:iCs w:val="0"/>
          <w:szCs w:val="32"/>
        </w:rPr>
        <w:t>九．签订合同</w:t>
      </w:r>
      <w:r>
        <w:rPr>
          <w:i w:val="0"/>
          <w:iCs w:val="0"/>
        </w:rPr>
        <w:tab/>
      </w:r>
      <w:r>
        <w:rPr>
          <w:i w:val="0"/>
          <w:iCs w:val="0"/>
        </w:rPr>
        <w:fldChar w:fldCharType="begin"/>
      </w:r>
      <w:r>
        <w:rPr>
          <w:i w:val="0"/>
          <w:iCs w:val="0"/>
        </w:rPr>
        <w:instrText xml:space="preserve"> PAGEREF _Toc20014 \h </w:instrText>
      </w:r>
      <w:r>
        <w:rPr>
          <w:i w:val="0"/>
          <w:iCs w:val="0"/>
        </w:rPr>
        <w:fldChar w:fldCharType="separate"/>
      </w:r>
      <w:r>
        <w:rPr>
          <w:i w:val="0"/>
          <w:iCs w:val="0"/>
        </w:rPr>
        <w:t>13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_Toc16845 </w:instrText>
      </w:r>
      <w:r>
        <w:rPr>
          <w:rFonts w:hint="eastAsia" w:ascii="宋体" w:hAnsi="宋体" w:cs="宋体"/>
          <w:i w:val="0"/>
          <w:iCs w:val="0"/>
          <w:szCs w:val="28"/>
        </w:rPr>
        <w:fldChar w:fldCharType="separate"/>
      </w:r>
      <w:r>
        <w:rPr>
          <w:rFonts w:hint="eastAsia" w:ascii="宋体" w:hAnsi="宋体"/>
          <w:i w:val="0"/>
          <w:iCs w:val="0"/>
        </w:rPr>
        <w:t xml:space="preserve">第四章 </w:t>
      </w:r>
      <w:r>
        <w:rPr>
          <w:rFonts w:hint="eastAsia" w:ascii="宋体" w:hAnsi="宋体"/>
          <w:i w:val="0"/>
          <w:iCs w:val="0"/>
          <w:szCs w:val="36"/>
        </w:rPr>
        <w:t>招标需求</w:t>
      </w:r>
      <w:r>
        <w:rPr>
          <w:i w:val="0"/>
          <w:iCs w:val="0"/>
        </w:rPr>
        <w:tab/>
      </w:r>
      <w:r>
        <w:rPr>
          <w:i w:val="0"/>
          <w:iCs w:val="0"/>
        </w:rPr>
        <w:fldChar w:fldCharType="begin"/>
      </w:r>
      <w:r>
        <w:rPr>
          <w:i w:val="0"/>
          <w:iCs w:val="0"/>
        </w:rPr>
        <w:instrText xml:space="preserve"> PAGEREF _Toc16845 \h </w:instrText>
      </w:r>
      <w:r>
        <w:rPr>
          <w:i w:val="0"/>
          <w:iCs w:val="0"/>
        </w:rPr>
        <w:fldChar w:fldCharType="separate"/>
      </w:r>
      <w:r>
        <w:rPr>
          <w:i w:val="0"/>
          <w:iCs w:val="0"/>
        </w:rPr>
        <w:t>15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_Toc9997 </w:instrText>
      </w:r>
      <w:r>
        <w:rPr>
          <w:rFonts w:hint="eastAsia" w:ascii="宋体" w:hAnsi="宋体" w:cs="宋体"/>
          <w:i w:val="0"/>
          <w:iCs w:val="0"/>
          <w:szCs w:val="28"/>
        </w:rPr>
        <w:fldChar w:fldCharType="separate"/>
      </w:r>
      <w:r>
        <w:rPr>
          <w:rFonts w:hint="eastAsia" w:ascii="宋体" w:hAnsi="宋体"/>
          <w:i w:val="0"/>
          <w:iCs w:val="0"/>
        </w:rPr>
        <w:t>第五章 评标办法</w:t>
      </w:r>
      <w:r>
        <w:rPr>
          <w:i w:val="0"/>
          <w:iCs w:val="0"/>
        </w:rPr>
        <w:tab/>
      </w:r>
      <w:r>
        <w:rPr>
          <w:i w:val="0"/>
          <w:iCs w:val="0"/>
        </w:rPr>
        <w:fldChar w:fldCharType="begin"/>
      </w:r>
      <w:r>
        <w:rPr>
          <w:i w:val="0"/>
          <w:iCs w:val="0"/>
        </w:rPr>
        <w:instrText xml:space="preserve"> PAGEREF _Toc9997 \h </w:instrText>
      </w:r>
      <w:r>
        <w:rPr>
          <w:i w:val="0"/>
          <w:iCs w:val="0"/>
        </w:rPr>
        <w:fldChar w:fldCharType="separate"/>
      </w:r>
      <w:r>
        <w:rPr>
          <w:i w:val="0"/>
          <w:iCs w:val="0"/>
        </w:rPr>
        <w:t>18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_Toc5990 </w:instrText>
      </w:r>
      <w:r>
        <w:rPr>
          <w:rFonts w:hint="eastAsia" w:ascii="宋体" w:hAnsi="宋体" w:cs="宋体"/>
          <w:i w:val="0"/>
          <w:iCs w:val="0"/>
          <w:szCs w:val="28"/>
        </w:rPr>
        <w:fldChar w:fldCharType="separate"/>
      </w:r>
      <w:r>
        <w:rPr>
          <w:rFonts w:hint="eastAsia" w:ascii="宋体" w:hAnsi="宋体"/>
          <w:i w:val="0"/>
          <w:iCs w:val="0"/>
        </w:rPr>
        <w:t xml:space="preserve">第六章 </w:t>
      </w:r>
      <w:r>
        <w:rPr>
          <w:rFonts w:ascii="宋体" w:hAnsi="宋体"/>
          <w:i w:val="0"/>
          <w:iCs w:val="0"/>
        </w:rPr>
        <w:t>合同</w:t>
      </w:r>
      <w:r>
        <w:rPr>
          <w:i w:val="0"/>
          <w:iCs w:val="0"/>
        </w:rPr>
        <w:tab/>
      </w:r>
      <w:r>
        <w:rPr>
          <w:i w:val="0"/>
          <w:iCs w:val="0"/>
        </w:rPr>
        <w:fldChar w:fldCharType="begin"/>
      </w:r>
      <w:r>
        <w:rPr>
          <w:i w:val="0"/>
          <w:iCs w:val="0"/>
        </w:rPr>
        <w:instrText xml:space="preserve"> PAGEREF _Toc5990 \h </w:instrText>
      </w:r>
      <w:r>
        <w:rPr>
          <w:i w:val="0"/>
          <w:iCs w:val="0"/>
        </w:rPr>
        <w:fldChar w:fldCharType="separate"/>
      </w:r>
      <w:r>
        <w:rPr>
          <w:i w:val="0"/>
          <w:iCs w:val="0"/>
        </w:rPr>
        <w:t>24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34"/>
        <w:tabs>
          <w:tab w:val="right" w:leader="dot" w:pos="941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_Toc1217 </w:instrText>
      </w:r>
      <w:r>
        <w:rPr>
          <w:rFonts w:hint="eastAsia" w:ascii="宋体" w:hAnsi="宋体" w:cs="宋体"/>
          <w:i w:val="0"/>
          <w:iCs w:val="0"/>
          <w:szCs w:val="28"/>
        </w:rPr>
        <w:fldChar w:fldCharType="separate"/>
      </w:r>
      <w:r>
        <w:rPr>
          <w:rFonts w:hint="eastAsia" w:ascii="宋体" w:hAnsi="宋体"/>
          <w:bCs/>
          <w:i w:val="0"/>
          <w:iCs w:val="0"/>
          <w:szCs w:val="32"/>
          <w:lang w:val="zh-CN"/>
        </w:rPr>
        <w:t>第七章 投标文件格式</w:t>
      </w:r>
      <w:r>
        <w:rPr>
          <w:i w:val="0"/>
          <w:iCs w:val="0"/>
        </w:rPr>
        <w:tab/>
      </w:r>
      <w:r>
        <w:rPr>
          <w:i w:val="0"/>
          <w:iCs w:val="0"/>
        </w:rPr>
        <w:fldChar w:fldCharType="begin"/>
      </w:r>
      <w:r>
        <w:rPr>
          <w:i w:val="0"/>
          <w:iCs w:val="0"/>
        </w:rPr>
        <w:instrText xml:space="preserve"> PAGEREF _Toc1217 \h </w:instrText>
      </w:r>
      <w:r>
        <w:rPr>
          <w:i w:val="0"/>
          <w:iCs w:val="0"/>
        </w:rPr>
        <w:fldChar w:fldCharType="separate"/>
      </w:r>
      <w:r>
        <w:rPr>
          <w:i w:val="0"/>
          <w:iCs w:val="0"/>
        </w:rPr>
        <w:t>29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_Toc25959 </w:instrText>
      </w:r>
      <w:r>
        <w:rPr>
          <w:rFonts w:hint="eastAsia" w:ascii="宋体" w:hAnsi="宋体" w:cs="宋体"/>
          <w:i w:val="0"/>
          <w:iCs w:val="0"/>
          <w:szCs w:val="28"/>
        </w:rPr>
        <w:fldChar w:fldCharType="separate"/>
      </w:r>
      <w:r>
        <w:rPr>
          <w:rFonts w:hint="eastAsia" w:ascii="宋体" w:hAnsi="宋体"/>
          <w:bCs/>
          <w:i w:val="0"/>
          <w:iCs w:val="0"/>
          <w:szCs w:val="32"/>
          <w:lang w:val="zh-CN"/>
        </w:rPr>
        <w:t>一．投标函</w:t>
      </w:r>
      <w:r>
        <w:rPr>
          <w:i w:val="0"/>
          <w:iCs w:val="0"/>
        </w:rPr>
        <w:tab/>
      </w:r>
      <w:r>
        <w:rPr>
          <w:i w:val="0"/>
          <w:iCs w:val="0"/>
        </w:rPr>
        <w:fldChar w:fldCharType="begin"/>
      </w:r>
      <w:r>
        <w:rPr>
          <w:i w:val="0"/>
          <w:iCs w:val="0"/>
        </w:rPr>
        <w:instrText xml:space="preserve"> PAGEREF _Toc25959 \h </w:instrText>
      </w:r>
      <w:r>
        <w:rPr>
          <w:i w:val="0"/>
          <w:iCs w:val="0"/>
        </w:rPr>
        <w:fldChar w:fldCharType="separate"/>
      </w:r>
      <w:r>
        <w:rPr>
          <w:i w:val="0"/>
          <w:iCs w:val="0"/>
        </w:rPr>
        <w:t>30</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_Toc23937 </w:instrText>
      </w:r>
      <w:r>
        <w:rPr>
          <w:rFonts w:hint="eastAsia" w:ascii="宋体" w:hAnsi="宋体" w:cs="宋体"/>
          <w:i w:val="0"/>
          <w:iCs w:val="0"/>
          <w:szCs w:val="28"/>
        </w:rPr>
        <w:fldChar w:fldCharType="separate"/>
      </w:r>
      <w:r>
        <w:rPr>
          <w:rFonts w:hint="eastAsia" w:ascii="宋体" w:hAnsi="宋体"/>
          <w:bCs/>
          <w:i w:val="0"/>
          <w:iCs w:val="0"/>
          <w:szCs w:val="32"/>
          <w:lang w:val="zh-CN"/>
        </w:rPr>
        <w:t>二．投标人情况综合简介</w:t>
      </w:r>
      <w:r>
        <w:rPr>
          <w:i w:val="0"/>
          <w:iCs w:val="0"/>
        </w:rPr>
        <w:tab/>
      </w:r>
      <w:r>
        <w:rPr>
          <w:i w:val="0"/>
          <w:iCs w:val="0"/>
        </w:rPr>
        <w:fldChar w:fldCharType="begin"/>
      </w:r>
      <w:r>
        <w:rPr>
          <w:i w:val="0"/>
          <w:iCs w:val="0"/>
        </w:rPr>
        <w:instrText xml:space="preserve"> PAGEREF _Toc23937 \h </w:instrText>
      </w:r>
      <w:r>
        <w:rPr>
          <w:i w:val="0"/>
          <w:iCs w:val="0"/>
        </w:rPr>
        <w:fldChar w:fldCharType="separate"/>
      </w:r>
      <w:r>
        <w:rPr>
          <w:i w:val="0"/>
          <w:iCs w:val="0"/>
        </w:rPr>
        <w:t>31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_Toc10885 </w:instrText>
      </w:r>
      <w:r>
        <w:rPr>
          <w:rFonts w:hint="eastAsia" w:ascii="宋体" w:hAnsi="宋体" w:cs="宋体"/>
          <w:i w:val="0"/>
          <w:iCs w:val="0"/>
          <w:szCs w:val="28"/>
        </w:rPr>
        <w:fldChar w:fldCharType="separate"/>
      </w:r>
      <w:r>
        <w:rPr>
          <w:rFonts w:hint="eastAsia" w:ascii="宋体" w:hAnsi="宋体"/>
          <w:bCs/>
          <w:i w:val="0"/>
          <w:iCs w:val="0"/>
          <w:szCs w:val="32"/>
          <w:lang w:val="zh-CN"/>
        </w:rPr>
        <w:t>三．开标一览表</w:t>
      </w:r>
      <w:r>
        <w:rPr>
          <w:i w:val="0"/>
          <w:iCs w:val="0"/>
        </w:rPr>
        <w:tab/>
      </w:r>
      <w:r>
        <w:rPr>
          <w:i w:val="0"/>
          <w:iCs w:val="0"/>
        </w:rPr>
        <w:fldChar w:fldCharType="begin"/>
      </w:r>
      <w:r>
        <w:rPr>
          <w:i w:val="0"/>
          <w:iCs w:val="0"/>
        </w:rPr>
        <w:instrText xml:space="preserve"> PAGEREF _Toc10885 \h </w:instrText>
      </w:r>
      <w:r>
        <w:rPr>
          <w:i w:val="0"/>
          <w:iCs w:val="0"/>
        </w:rPr>
        <w:fldChar w:fldCharType="separate"/>
      </w:r>
      <w:r>
        <w:rPr>
          <w:i w:val="0"/>
          <w:iCs w:val="0"/>
        </w:rPr>
        <w:t>32</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_Toc22836 </w:instrText>
      </w:r>
      <w:r>
        <w:rPr>
          <w:rFonts w:hint="eastAsia" w:ascii="宋体" w:hAnsi="宋体" w:cs="宋体"/>
          <w:i w:val="0"/>
          <w:iCs w:val="0"/>
          <w:szCs w:val="28"/>
        </w:rPr>
        <w:fldChar w:fldCharType="separate"/>
      </w:r>
      <w:r>
        <w:rPr>
          <w:rFonts w:hint="eastAsia" w:ascii="宋体" w:hAnsi="宋体"/>
          <w:bCs/>
          <w:i w:val="0"/>
          <w:iCs w:val="0"/>
          <w:szCs w:val="32"/>
          <w:lang w:val="zh-CN"/>
        </w:rPr>
        <w:t>四．投标响应表</w:t>
      </w:r>
      <w:r>
        <w:rPr>
          <w:i w:val="0"/>
          <w:iCs w:val="0"/>
        </w:rPr>
        <w:tab/>
      </w:r>
      <w:r>
        <w:rPr>
          <w:i w:val="0"/>
          <w:iCs w:val="0"/>
        </w:rPr>
        <w:fldChar w:fldCharType="begin"/>
      </w:r>
      <w:r>
        <w:rPr>
          <w:i w:val="0"/>
          <w:iCs w:val="0"/>
        </w:rPr>
        <w:instrText xml:space="preserve"> PAGEREF _Toc22836 \h </w:instrText>
      </w:r>
      <w:r>
        <w:rPr>
          <w:i w:val="0"/>
          <w:iCs w:val="0"/>
        </w:rPr>
        <w:fldChar w:fldCharType="separate"/>
      </w:r>
      <w:r>
        <w:rPr>
          <w:i w:val="0"/>
          <w:iCs w:val="0"/>
        </w:rPr>
        <w:t>33</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_Toc10981 </w:instrText>
      </w:r>
      <w:r>
        <w:rPr>
          <w:rFonts w:hint="eastAsia" w:ascii="宋体" w:hAnsi="宋体" w:cs="宋体"/>
          <w:i w:val="0"/>
          <w:iCs w:val="0"/>
          <w:szCs w:val="28"/>
        </w:rPr>
        <w:fldChar w:fldCharType="separate"/>
      </w:r>
      <w:r>
        <w:rPr>
          <w:rFonts w:hint="eastAsia" w:hAnsi="宋体"/>
          <w:i w:val="0"/>
          <w:iCs w:val="0"/>
        </w:rPr>
        <w:t>五.投标货物及报价表</w:t>
      </w:r>
      <w:r>
        <w:rPr>
          <w:i w:val="0"/>
          <w:iCs w:val="0"/>
        </w:rPr>
        <w:tab/>
      </w:r>
      <w:r>
        <w:rPr>
          <w:i w:val="0"/>
          <w:iCs w:val="0"/>
        </w:rPr>
        <w:fldChar w:fldCharType="begin"/>
      </w:r>
      <w:r>
        <w:rPr>
          <w:i w:val="0"/>
          <w:iCs w:val="0"/>
        </w:rPr>
        <w:instrText xml:space="preserve"> PAGEREF _Toc10981 \h </w:instrText>
      </w:r>
      <w:r>
        <w:rPr>
          <w:i w:val="0"/>
          <w:iCs w:val="0"/>
        </w:rPr>
        <w:fldChar w:fldCharType="separate"/>
      </w:r>
      <w:r>
        <w:rPr>
          <w:i w:val="0"/>
          <w:iCs w:val="0"/>
        </w:rPr>
        <w:t>34</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_Toc32709 </w:instrText>
      </w:r>
      <w:r>
        <w:rPr>
          <w:rFonts w:hint="eastAsia" w:ascii="宋体" w:hAnsi="宋体" w:cs="宋体"/>
          <w:i w:val="0"/>
          <w:iCs w:val="0"/>
          <w:szCs w:val="28"/>
        </w:rPr>
        <w:fldChar w:fldCharType="separate"/>
      </w:r>
      <w:r>
        <w:rPr>
          <w:rFonts w:hint="eastAsia" w:ascii="宋体" w:hAnsi="宋体"/>
          <w:bCs/>
          <w:i w:val="0"/>
          <w:iCs w:val="0"/>
          <w:szCs w:val="32"/>
          <w:lang w:val="zh-CN"/>
        </w:rPr>
        <w:t>六．投标授权书</w:t>
      </w:r>
      <w:r>
        <w:rPr>
          <w:i w:val="0"/>
          <w:iCs w:val="0"/>
        </w:rPr>
        <w:tab/>
      </w:r>
      <w:r>
        <w:rPr>
          <w:i w:val="0"/>
          <w:iCs w:val="0"/>
        </w:rPr>
        <w:fldChar w:fldCharType="begin"/>
      </w:r>
      <w:r>
        <w:rPr>
          <w:i w:val="0"/>
          <w:iCs w:val="0"/>
        </w:rPr>
        <w:instrText xml:space="preserve"> PAGEREF _Toc32709 \h </w:instrText>
      </w:r>
      <w:r>
        <w:rPr>
          <w:i w:val="0"/>
          <w:iCs w:val="0"/>
        </w:rPr>
        <w:fldChar w:fldCharType="separate"/>
      </w:r>
      <w:r>
        <w:rPr>
          <w:i w:val="0"/>
          <w:iCs w:val="0"/>
        </w:rPr>
        <w:t>35</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_Toc14779 </w:instrText>
      </w:r>
      <w:r>
        <w:rPr>
          <w:rFonts w:hint="eastAsia" w:ascii="宋体" w:hAnsi="宋体" w:cs="宋体"/>
          <w:i w:val="0"/>
          <w:iCs w:val="0"/>
          <w:szCs w:val="28"/>
        </w:rPr>
        <w:fldChar w:fldCharType="separate"/>
      </w:r>
      <w:r>
        <w:rPr>
          <w:rFonts w:hint="eastAsia" w:ascii="宋体" w:hAnsi="宋体" w:cs="宋体"/>
          <w:bCs/>
          <w:i w:val="0"/>
          <w:iCs w:val="0"/>
          <w:szCs w:val="28"/>
          <w:lang w:val="zh-CN"/>
        </w:rPr>
        <w:t>七．投标人信用承诺</w:t>
      </w:r>
      <w:r>
        <w:rPr>
          <w:i w:val="0"/>
          <w:iCs w:val="0"/>
        </w:rPr>
        <w:tab/>
      </w:r>
      <w:r>
        <w:rPr>
          <w:i w:val="0"/>
          <w:iCs w:val="0"/>
        </w:rPr>
        <w:fldChar w:fldCharType="begin"/>
      </w:r>
      <w:r>
        <w:rPr>
          <w:i w:val="0"/>
          <w:iCs w:val="0"/>
        </w:rPr>
        <w:instrText xml:space="preserve"> PAGEREF _Toc14779 \h </w:instrText>
      </w:r>
      <w:r>
        <w:rPr>
          <w:i w:val="0"/>
          <w:iCs w:val="0"/>
        </w:rPr>
        <w:fldChar w:fldCharType="separate"/>
      </w:r>
      <w:r>
        <w:rPr>
          <w:i w:val="0"/>
          <w:iCs w:val="0"/>
        </w:rPr>
        <w:t>36</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_Toc24259 </w:instrText>
      </w:r>
      <w:r>
        <w:rPr>
          <w:rFonts w:hint="eastAsia" w:ascii="宋体" w:hAnsi="宋体" w:cs="宋体"/>
          <w:i w:val="0"/>
          <w:iCs w:val="0"/>
          <w:szCs w:val="28"/>
        </w:rPr>
        <w:fldChar w:fldCharType="separate"/>
      </w:r>
      <w:r>
        <w:rPr>
          <w:rFonts w:hint="eastAsia" w:ascii="宋体" w:hAnsi="宋体" w:cs="宋体"/>
          <w:bCs/>
          <w:i w:val="0"/>
          <w:iCs w:val="0"/>
          <w:szCs w:val="28"/>
          <w:lang w:val="zh-CN"/>
        </w:rPr>
        <w:t>八. 投标业绩</w:t>
      </w:r>
      <w:r>
        <w:rPr>
          <w:i w:val="0"/>
          <w:iCs w:val="0"/>
        </w:rPr>
        <w:tab/>
      </w:r>
      <w:r>
        <w:rPr>
          <w:i w:val="0"/>
          <w:iCs w:val="0"/>
        </w:rPr>
        <w:fldChar w:fldCharType="begin"/>
      </w:r>
      <w:r>
        <w:rPr>
          <w:i w:val="0"/>
          <w:iCs w:val="0"/>
        </w:rPr>
        <w:instrText xml:space="preserve"> PAGEREF _Toc24259 \h </w:instrText>
      </w:r>
      <w:r>
        <w:rPr>
          <w:i w:val="0"/>
          <w:iCs w:val="0"/>
        </w:rPr>
        <w:fldChar w:fldCharType="separate"/>
      </w:r>
      <w:r>
        <w:rPr>
          <w:i w:val="0"/>
          <w:iCs w:val="0"/>
        </w:rPr>
        <w:t>37</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_Toc16606 </w:instrText>
      </w:r>
      <w:r>
        <w:rPr>
          <w:rFonts w:hint="eastAsia" w:ascii="宋体" w:hAnsi="宋体" w:cs="宋体"/>
          <w:i w:val="0"/>
          <w:iCs w:val="0"/>
          <w:szCs w:val="28"/>
        </w:rPr>
        <w:fldChar w:fldCharType="separate"/>
      </w:r>
      <w:r>
        <w:rPr>
          <w:rFonts w:hint="eastAsia" w:ascii="宋体" w:hAnsi="宋体"/>
          <w:bCs/>
          <w:i w:val="0"/>
          <w:iCs w:val="0"/>
          <w:szCs w:val="32"/>
          <w:lang w:val="zh-CN"/>
        </w:rPr>
        <w:t>九．有关证明文件</w:t>
      </w:r>
      <w:r>
        <w:rPr>
          <w:i w:val="0"/>
          <w:iCs w:val="0"/>
        </w:rPr>
        <w:tab/>
      </w:r>
      <w:r>
        <w:rPr>
          <w:i w:val="0"/>
          <w:iCs w:val="0"/>
        </w:rPr>
        <w:fldChar w:fldCharType="begin"/>
      </w:r>
      <w:r>
        <w:rPr>
          <w:i w:val="0"/>
          <w:iCs w:val="0"/>
        </w:rPr>
        <w:instrText xml:space="preserve"> PAGEREF _Toc16606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_Toc2343 </w:instrText>
      </w:r>
      <w:r>
        <w:rPr>
          <w:rFonts w:hint="eastAsia" w:ascii="宋体" w:hAnsi="宋体" w:cs="宋体"/>
          <w:i w:val="0"/>
          <w:iCs w:val="0"/>
          <w:szCs w:val="28"/>
        </w:rPr>
        <w:fldChar w:fldCharType="separate"/>
      </w:r>
      <w:r>
        <w:rPr>
          <w:rFonts w:hint="eastAsia" w:ascii="宋体" w:hAnsi="宋体"/>
          <w:bCs/>
          <w:i w:val="0"/>
          <w:iCs w:val="0"/>
          <w:szCs w:val="32"/>
          <w:lang w:val="zh-CN"/>
        </w:rPr>
        <w:t>十．生产厂商授权书</w:t>
      </w:r>
      <w:r>
        <w:rPr>
          <w:i w:val="0"/>
          <w:iCs w:val="0"/>
        </w:rPr>
        <w:tab/>
      </w:r>
      <w:r>
        <w:rPr>
          <w:i w:val="0"/>
          <w:iCs w:val="0"/>
        </w:rPr>
        <w:fldChar w:fldCharType="begin"/>
      </w:r>
      <w:r>
        <w:rPr>
          <w:i w:val="0"/>
          <w:iCs w:val="0"/>
        </w:rPr>
        <w:instrText xml:space="preserve"> PAGEREF _Toc2343 \h </w:instrText>
      </w:r>
      <w:r>
        <w:rPr>
          <w:i w:val="0"/>
          <w:iCs w:val="0"/>
        </w:rPr>
        <w:fldChar w:fldCharType="separate"/>
      </w:r>
      <w:r>
        <w:rPr>
          <w:i w:val="0"/>
          <w:iCs w:val="0"/>
        </w:rPr>
        <w:t>38</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_Toc32245 </w:instrText>
      </w:r>
      <w:r>
        <w:rPr>
          <w:rFonts w:hint="eastAsia" w:ascii="宋体" w:hAnsi="宋体" w:cs="宋体"/>
          <w:i w:val="0"/>
          <w:iCs w:val="0"/>
          <w:szCs w:val="28"/>
        </w:rPr>
        <w:fldChar w:fldCharType="separate"/>
      </w:r>
      <w:r>
        <w:rPr>
          <w:rFonts w:hint="eastAsia" w:ascii="宋体" w:hAnsi="宋体"/>
          <w:bCs/>
          <w:i w:val="0"/>
          <w:iCs w:val="0"/>
          <w:szCs w:val="32"/>
          <w:lang w:val="zh-CN"/>
        </w:rPr>
        <w:t>十一．项目人员配备</w:t>
      </w:r>
      <w:r>
        <w:rPr>
          <w:i w:val="0"/>
          <w:iCs w:val="0"/>
        </w:rPr>
        <w:tab/>
      </w:r>
      <w:r>
        <w:rPr>
          <w:i w:val="0"/>
          <w:iCs w:val="0"/>
        </w:rPr>
        <w:fldChar w:fldCharType="begin"/>
      </w:r>
      <w:r>
        <w:rPr>
          <w:i w:val="0"/>
          <w:iCs w:val="0"/>
        </w:rPr>
        <w:instrText xml:space="preserve"> PAGEREF _Toc32245 \h </w:instrText>
      </w:r>
      <w:r>
        <w:rPr>
          <w:i w:val="0"/>
          <w:iCs w:val="0"/>
        </w:rPr>
        <w:fldChar w:fldCharType="separate"/>
      </w:r>
      <w:r>
        <w:rPr>
          <w:i w:val="0"/>
          <w:iCs w:val="0"/>
        </w:rPr>
        <w:t>39</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_Toc10816 </w:instrText>
      </w:r>
      <w:r>
        <w:rPr>
          <w:rFonts w:hint="eastAsia" w:ascii="宋体" w:hAnsi="宋体" w:cs="宋体"/>
          <w:i w:val="0"/>
          <w:iCs w:val="0"/>
          <w:szCs w:val="28"/>
        </w:rPr>
        <w:fldChar w:fldCharType="separate"/>
      </w:r>
      <w:r>
        <w:rPr>
          <w:rFonts w:hint="eastAsia" w:ascii="宋体" w:hAnsi="宋体"/>
          <w:bCs/>
          <w:i w:val="0"/>
          <w:iCs w:val="0"/>
          <w:szCs w:val="32"/>
          <w:lang w:val="zh-CN"/>
        </w:rPr>
        <w:t>十二．售后服务体系与检测方案</w:t>
      </w:r>
      <w:r>
        <w:rPr>
          <w:i w:val="0"/>
          <w:iCs w:val="0"/>
        </w:rPr>
        <w:tab/>
      </w:r>
      <w:r>
        <w:rPr>
          <w:i w:val="0"/>
          <w:iCs w:val="0"/>
        </w:rPr>
        <w:fldChar w:fldCharType="begin"/>
      </w:r>
      <w:r>
        <w:rPr>
          <w:i w:val="0"/>
          <w:iCs w:val="0"/>
        </w:rPr>
        <w:instrText xml:space="preserve"> PAGEREF _Toc10816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_Toc27185 </w:instrText>
      </w:r>
      <w:r>
        <w:rPr>
          <w:rFonts w:hint="eastAsia" w:ascii="宋体" w:hAnsi="宋体" w:cs="宋体"/>
          <w:i w:val="0"/>
          <w:iCs w:val="0"/>
          <w:szCs w:val="28"/>
        </w:rPr>
        <w:fldChar w:fldCharType="separate"/>
      </w:r>
      <w:r>
        <w:rPr>
          <w:rFonts w:hint="eastAsia" w:ascii="宋体" w:hAnsi="宋体"/>
          <w:bCs/>
          <w:i w:val="0"/>
          <w:iCs w:val="0"/>
          <w:szCs w:val="32"/>
          <w:lang w:val="zh-CN"/>
        </w:rPr>
        <w:t>十三．产品质量承诺</w:t>
      </w:r>
      <w:r>
        <w:rPr>
          <w:i w:val="0"/>
          <w:iCs w:val="0"/>
        </w:rPr>
        <w:tab/>
      </w:r>
      <w:r>
        <w:rPr>
          <w:i w:val="0"/>
          <w:iCs w:val="0"/>
        </w:rPr>
        <w:fldChar w:fldCharType="begin"/>
      </w:r>
      <w:r>
        <w:rPr>
          <w:i w:val="0"/>
          <w:iCs w:val="0"/>
        </w:rPr>
        <w:instrText xml:space="preserve"> PAGEREF _Toc27185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pStyle w:val="25"/>
        <w:tabs>
          <w:tab w:val="right" w:leader="dot" w:pos="9413"/>
          <w:tab w:val="clear" w:pos="9403"/>
        </w:tabs>
        <w:rPr>
          <w:i w:val="0"/>
          <w:iCs w:val="0"/>
        </w:rPr>
      </w:pPr>
      <w:r>
        <w:rPr>
          <w:rFonts w:hint="eastAsia" w:ascii="宋体" w:hAnsi="宋体" w:cs="宋体"/>
          <w:i w:val="0"/>
          <w:iCs w:val="0"/>
          <w:color w:val="000000" w:themeColor="text1"/>
          <w:szCs w:val="28"/>
          <w14:textFill>
            <w14:solidFill>
              <w14:schemeClr w14:val="tx1"/>
            </w14:solidFill>
          </w14:textFill>
        </w:rPr>
        <w:fldChar w:fldCharType="begin"/>
      </w:r>
      <w:r>
        <w:rPr>
          <w:rFonts w:hint="eastAsia" w:ascii="宋体" w:hAnsi="宋体" w:cs="宋体"/>
          <w:i w:val="0"/>
          <w:iCs w:val="0"/>
          <w:szCs w:val="28"/>
        </w:rPr>
        <w:instrText xml:space="preserve"> HYPERLINK \l _Toc27926 </w:instrText>
      </w:r>
      <w:r>
        <w:rPr>
          <w:rFonts w:hint="eastAsia" w:ascii="宋体" w:hAnsi="宋体" w:cs="宋体"/>
          <w:i w:val="0"/>
          <w:iCs w:val="0"/>
          <w:szCs w:val="28"/>
        </w:rPr>
        <w:fldChar w:fldCharType="separate"/>
      </w:r>
      <w:r>
        <w:rPr>
          <w:rFonts w:hint="eastAsia" w:ascii="宋体" w:hAnsi="宋体"/>
          <w:bCs/>
          <w:i w:val="0"/>
          <w:iCs w:val="0"/>
          <w:szCs w:val="32"/>
          <w:lang w:val="zh-CN"/>
        </w:rPr>
        <w:t>十五．投标保证金退还声明</w:t>
      </w:r>
      <w:r>
        <w:rPr>
          <w:i w:val="0"/>
          <w:iCs w:val="0"/>
        </w:rPr>
        <w:tab/>
      </w:r>
      <w:r>
        <w:rPr>
          <w:i w:val="0"/>
          <w:iCs w:val="0"/>
        </w:rPr>
        <w:fldChar w:fldCharType="begin"/>
      </w:r>
      <w:r>
        <w:rPr>
          <w:i w:val="0"/>
          <w:iCs w:val="0"/>
        </w:rPr>
        <w:instrText xml:space="preserve"> PAGEREF _Toc27926 \h </w:instrText>
      </w:r>
      <w:r>
        <w:rPr>
          <w:i w:val="0"/>
          <w:iCs w:val="0"/>
        </w:rPr>
        <w:fldChar w:fldCharType="separate"/>
      </w:r>
      <w:r>
        <w:rPr>
          <w:i w:val="0"/>
          <w:iCs w:val="0"/>
        </w:rPr>
        <w:t>41</w:t>
      </w:r>
      <w:r>
        <w:rPr>
          <w:i w:val="0"/>
          <w:iCs w:val="0"/>
        </w:rPr>
        <w:fldChar w:fldCharType="end"/>
      </w:r>
      <w:r>
        <w:rPr>
          <w:rFonts w:hint="eastAsia" w:ascii="宋体" w:hAnsi="宋体" w:cs="宋体"/>
          <w:i w:val="0"/>
          <w:iCs w:val="0"/>
          <w:color w:val="000000" w:themeColor="text1"/>
          <w:szCs w:val="28"/>
          <w14:textFill>
            <w14:solidFill>
              <w14:schemeClr w14:val="tx1"/>
            </w14:solidFill>
          </w14:textFill>
        </w:rPr>
        <w:fldChar w:fldCharType="end"/>
      </w:r>
    </w:p>
    <w:p>
      <w:pPr>
        <w:spacing w:line="440" w:lineRule="exact"/>
        <w:outlineLvl w:val="0"/>
        <w:rPr>
          <w:rFonts w:ascii="宋体" w:hAnsi="宋体" w:cs="宋体"/>
          <w:color w:val="000000" w:themeColor="text1"/>
          <w:sz w:val="28"/>
          <w:szCs w:val="28"/>
          <w14:textFill>
            <w14:solidFill>
              <w14:schemeClr w14:val="tx1"/>
            </w14:solidFill>
          </w14:textFill>
        </w:rPr>
      </w:pPr>
      <w:r>
        <w:rPr>
          <w:rFonts w:hint="eastAsia" w:ascii="宋体" w:hAnsi="宋体" w:cs="宋体"/>
          <w:i w:val="0"/>
          <w:iCs w:val="0"/>
          <w:color w:val="000000" w:themeColor="text1"/>
          <w:szCs w:val="28"/>
          <w14:textFill>
            <w14:solidFill>
              <w14:schemeClr w14:val="tx1"/>
            </w14:solidFill>
          </w14:textFill>
        </w:rPr>
        <w:fldChar w:fldCharType="end"/>
      </w:r>
      <w:bookmarkStart w:id="3" w:name="_Toc7187420"/>
    </w:p>
    <w:p>
      <w:pPr>
        <w:spacing w:line="440" w:lineRule="exact"/>
        <w:outlineLvl w:val="0"/>
        <w:rPr>
          <w:rFonts w:ascii="宋体" w:hAnsi="宋体" w:cs="宋体"/>
          <w:color w:val="000000" w:themeColor="text1"/>
          <w:sz w:val="28"/>
          <w:szCs w:val="28"/>
          <w14:textFill>
            <w14:solidFill>
              <w14:schemeClr w14:val="tx1"/>
            </w14:solidFill>
          </w14:textFill>
        </w:rPr>
      </w:pPr>
    </w:p>
    <w:p>
      <w:pPr>
        <w:spacing w:line="440" w:lineRule="exact"/>
        <w:jc w:val="center"/>
        <w:outlineLvl w:val="0"/>
        <w:rPr>
          <w:rFonts w:ascii="宋体" w:hAnsi="宋体" w:cs="宋体"/>
          <w:color w:val="000000" w:themeColor="text1"/>
          <w:sz w:val="28"/>
          <w:szCs w:val="28"/>
          <w14:textFill>
            <w14:solidFill>
              <w14:schemeClr w14:val="tx1"/>
            </w14:solidFill>
          </w14:textFill>
        </w:rPr>
      </w:pPr>
    </w:p>
    <w:p>
      <w:pPr>
        <w:spacing w:line="360" w:lineRule="auto"/>
        <w:outlineLvl w:val="0"/>
        <w:rPr>
          <w:rFonts w:ascii="宋体" w:hAnsi="宋体"/>
          <w:b/>
          <w:bCs/>
          <w:color w:val="000000" w:themeColor="text1"/>
          <w:sz w:val="32"/>
          <w:szCs w:val="32"/>
          <w14:textFill>
            <w14:solidFill>
              <w14:schemeClr w14:val="tx1"/>
            </w14:solidFill>
          </w14:textFill>
        </w:rPr>
      </w:pPr>
    </w:p>
    <w:p>
      <w:pPr>
        <w:spacing w:line="360" w:lineRule="auto"/>
        <w:jc w:val="center"/>
        <w:outlineLvl w:val="0"/>
        <w:rPr>
          <w:rFonts w:ascii="宋体" w:hAnsi="宋体"/>
          <w:b/>
          <w:bCs/>
          <w:color w:val="000000" w:themeColor="text1"/>
          <w:sz w:val="32"/>
          <w:szCs w:val="32"/>
          <w14:textFill>
            <w14:solidFill>
              <w14:schemeClr w14:val="tx1"/>
            </w14:solidFill>
          </w14:textFill>
        </w:rPr>
      </w:pPr>
      <w:bookmarkStart w:id="4" w:name="_Toc16593"/>
      <w:r>
        <w:rPr>
          <w:rFonts w:hint="eastAsia" w:ascii="宋体" w:hAnsi="宋体"/>
          <w:b/>
          <w:bCs/>
          <w:color w:val="000000" w:themeColor="text1"/>
          <w:sz w:val="32"/>
          <w:szCs w:val="32"/>
          <w14:textFill>
            <w14:solidFill>
              <w14:schemeClr w14:val="tx1"/>
            </w14:solidFill>
          </w14:textFill>
        </w:rPr>
        <w:t>第一章 投标邀请（招标公告）</w:t>
      </w:r>
      <w:bookmarkEnd w:id="3"/>
      <w:bookmarkEnd w:id="4"/>
    </w:p>
    <w:p>
      <w:pPr>
        <w:tabs>
          <w:tab w:val="left" w:pos="2410"/>
        </w:tabs>
        <w:autoSpaceDE w:val="0"/>
        <w:autoSpaceDN w:val="0"/>
        <w:adjustRightInd w:val="0"/>
        <w:snapToGrid w:val="0"/>
        <w:spacing w:line="360" w:lineRule="auto"/>
        <w:ind w:firstLine="482" w:firstLineChars="200"/>
        <w:rPr>
          <w:rFonts w:ascii="宋体" w:hAnsi="DotumChe" w:cs="宋体"/>
          <w:b/>
          <w:color w:val="000000" w:themeColor="text1"/>
          <w:spacing w:val="20"/>
          <w:kern w:val="0"/>
          <w:sz w:val="24"/>
          <w:szCs w:val="24"/>
          <w14:textFill>
            <w14:solidFill>
              <w14:schemeClr w14:val="tx1"/>
            </w14:solidFill>
          </w14:textFill>
        </w:rPr>
      </w:pPr>
      <w:bookmarkStart w:id="5" w:name="_Hlt510343011"/>
      <w:bookmarkStart w:id="6" w:name="_Hlt510342998"/>
      <w:r>
        <w:rPr>
          <w:rFonts w:hint="eastAsia" w:ascii="宋体" w:hAnsi="宋体"/>
          <w:b/>
          <w:color w:val="000000" w:themeColor="text1"/>
          <w:sz w:val="24"/>
          <w:szCs w:val="24"/>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现对</w:t>
      </w:r>
      <w:r>
        <w:rPr>
          <w:rFonts w:hint="eastAsia" w:ascii="宋体" w:hAnsi="宋体"/>
          <w:b/>
          <w:bCs/>
          <w:color w:val="000000" w:themeColor="text1"/>
          <w:sz w:val="24"/>
          <w:szCs w:val="24"/>
          <w14:textFill>
            <w14:solidFill>
              <w14:schemeClr w14:val="tx1"/>
            </w14:solidFill>
          </w14:textFill>
        </w:rPr>
        <w:t>合肥体育中心游泳馆及天鹅湖全民健身中心游泳馆202</w:t>
      </w:r>
      <w:r>
        <w:rPr>
          <w:rFonts w:hint="eastAsia" w:ascii="宋体" w:hAnsi="宋体"/>
          <w:b/>
          <w:bCs/>
          <w:color w:val="000000" w:themeColor="text1"/>
          <w:sz w:val="24"/>
          <w:szCs w:val="24"/>
          <w:lang w:val="en-US" w:eastAsia="zh-CN"/>
          <w14:textFill>
            <w14:solidFill>
              <w14:schemeClr w14:val="tx1"/>
            </w14:solidFill>
          </w14:textFill>
        </w:rPr>
        <w:t>3</w:t>
      </w:r>
      <w:r>
        <w:rPr>
          <w:rFonts w:hint="eastAsia" w:ascii="宋体" w:hAnsi="宋体"/>
          <w:b/>
          <w:bCs/>
          <w:color w:val="000000" w:themeColor="text1"/>
          <w:sz w:val="24"/>
          <w:szCs w:val="24"/>
          <w14:textFill>
            <w14:solidFill>
              <w14:schemeClr w14:val="tx1"/>
            </w14:solidFill>
          </w14:textFill>
        </w:rPr>
        <w:t>年度水处理药剂及水质养护服务项目</w:t>
      </w:r>
      <w:r>
        <w:rPr>
          <w:rFonts w:hint="eastAsia" w:ascii="宋体" w:hAnsi="宋体"/>
          <w:bCs/>
          <w:color w:val="000000" w:themeColor="text1"/>
          <w:sz w:val="24"/>
          <w:szCs w:val="24"/>
          <w14:textFill>
            <w14:solidFill>
              <w14:schemeClr w14:val="tx1"/>
            </w14:solidFill>
          </w14:textFill>
        </w:rPr>
        <w:t>（以下简称：本项目）</w:t>
      </w:r>
      <w:r>
        <w:rPr>
          <w:rFonts w:hint="eastAsia" w:ascii="宋体" w:hAnsi="宋体"/>
          <w:color w:val="000000" w:themeColor="text1"/>
          <w:sz w:val="24"/>
          <w:szCs w:val="24"/>
          <w14:textFill>
            <w14:solidFill>
              <w14:schemeClr w14:val="tx1"/>
            </w14:solidFill>
          </w14:textFill>
        </w:rPr>
        <w:t>进行公开招标，欢迎具备条件的投标人参加投标。</w:t>
      </w:r>
    </w:p>
    <w:p>
      <w:pPr>
        <w:autoSpaceDE w:val="0"/>
        <w:autoSpaceDN w:val="0"/>
        <w:adjustRightInd w:val="0"/>
        <w:spacing w:line="360" w:lineRule="auto"/>
        <w:ind w:firstLine="200"/>
        <w:jc w:val="lef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一、项目名称及内容</w:t>
      </w:r>
    </w:p>
    <w:p>
      <w:pPr>
        <w:tabs>
          <w:tab w:val="left" w:pos="2410"/>
        </w:tabs>
        <w:autoSpaceDE w:val="0"/>
        <w:autoSpaceDN w:val="0"/>
        <w:adjustRightInd w:val="0"/>
        <w:snapToGrid w:val="0"/>
        <w:spacing w:line="360" w:lineRule="auto"/>
        <w:ind w:firstLine="240" w:firstLineChars="100"/>
        <w:rPr>
          <w:rFonts w:hint="eastAsia"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1.项目编号：2023TYGSCG08</w:t>
      </w:r>
    </w:p>
    <w:p>
      <w:pPr>
        <w:autoSpaceDE w:val="0"/>
        <w:autoSpaceDN w:val="0"/>
        <w:adjustRightInd w:val="0"/>
        <w:spacing w:line="360" w:lineRule="auto"/>
        <w:ind w:left="1681" w:leftChars="114" w:hanging="1442" w:hangingChars="601"/>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2.项目名称：合肥体育中心游泳馆及天鹅湖全民健身中心游泳馆202</w:t>
      </w:r>
      <w:r>
        <w:rPr>
          <w:rFonts w:hint="eastAsia" w:ascii="宋体" w:hAnsi="宋体"/>
          <w:color w:val="000000" w:themeColor="text1"/>
          <w:sz w:val="24"/>
          <w:szCs w:val="18"/>
          <w:lang w:val="en-US" w:eastAsia="zh-CN"/>
          <w14:textFill>
            <w14:solidFill>
              <w14:schemeClr w14:val="tx1"/>
            </w14:solidFill>
          </w14:textFill>
        </w:rPr>
        <w:t>3</w:t>
      </w:r>
      <w:r>
        <w:rPr>
          <w:rFonts w:hint="eastAsia" w:ascii="宋体" w:hAnsi="宋体"/>
          <w:color w:val="000000" w:themeColor="text1"/>
          <w:sz w:val="24"/>
          <w:szCs w:val="18"/>
          <w14:textFill>
            <w14:solidFill>
              <w14:schemeClr w14:val="tx1"/>
            </w14:solidFill>
          </w14:textFill>
        </w:rPr>
        <w:t>年度水处理药剂及水质养护服务</w:t>
      </w:r>
    </w:p>
    <w:p>
      <w:pPr>
        <w:autoSpaceDE w:val="0"/>
        <w:autoSpaceDN w:val="0"/>
        <w:adjustRightInd w:val="0"/>
        <w:spacing w:line="360" w:lineRule="auto"/>
        <w:ind w:left="1681" w:leftChars="114" w:hanging="1442" w:hangingChars="601"/>
        <w:jc w:val="left"/>
        <w:rPr>
          <w:rFonts w:hint="default" w:ascii="宋体" w:hAnsi="宋体" w:eastAsia="宋体"/>
          <w:color w:val="000000" w:themeColor="text1"/>
          <w:sz w:val="24"/>
          <w:szCs w:val="18"/>
          <w:lang w:val="en-US" w:eastAsia="zh-CN"/>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3.项目地点：合肥体育中心</w:t>
      </w:r>
      <w:r>
        <w:rPr>
          <w:rFonts w:hint="eastAsia" w:ascii="宋体" w:hAnsi="宋体"/>
          <w:color w:val="000000" w:themeColor="text1"/>
          <w:sz w:val="24"/>
          <w:szCs w:val="18"/>
          <w:lang w:eastAsia="zh-CN"/>
          <w14:textFill>
            <w14:solidFill>
              <w14:schemeClr w14:val="tx1"/>
            </w14:solidFill>
          </w14:textFill>
        </w:rPr>
        <w:t>、</w:t>
      </w:r>
      <w:r>
        <w:rPr>
          <w:rFonts w:hint="eastAsia" w:ascii="宋体" w:hAnsi="宋体"/>
          <w:color w:val="000000" w:themeColor="text1"/>
          <w:sz w:val="24"/>
          <w:szCs w:val="18"/>
          <w:lang w:val="en-US" w:eastAsia="zh-CN"/>
          <w14:textFill>
            <w14:solidFill>
              <w14:schemeClr w14:val="tx1"/>
            </w14:solidFill>
          </w14:textFill>
        </w:rPr>
        <w:t>天鹅湖全民健身中心</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4.项目单位：合肥体育产业投资有限公司 </w:t>
      </w:r>
    </w:p>
    <w:p>
      <w:pPr>
        <w:autoSpaceDE w:val="0"/>
        <w:autoSpaceDN w:val="0"/>
        <w:adjustRightInd w:val="0"/>
        <w:spacing w:line="360" w:lineRule="auto"/>
        <w:ind w:firstLine="2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5.项目概况：详见招标需求</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000000" w:themeColor="text1"/>
          <w:sz w:val="24"/>
          <w:szCs w:val="18"/>
          <w14:textFill>
            <w14:solidFill>
              <w14:schemeClr w14:val="tx1"/>
            </w14:solidFill>
          </w14:textFill>
        </w:rPr>
        <w:t>6.资金来源</w:t>
      </w:r>
      <w:r>
        <w:rPr>
          <w:rFonts w:hint="eastAsia" w:ascii="宋体" w:hAnsi="宋体"/>
          <w:color w:val="auto"/>
          <w:sz w:val="24"/>
          <w:szCs w:val="18"/>
        </w:rPr>
        <w:t>：自筹</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7.项目概算:贰拾</w:t>
      </w:r>
      <w:r>
        <w:rPr>
          <w:rFonts w:hint="eastAsia" w:ascii="宋体" w:hAnsi="宋体"/>
          <w:color w:val="auto"/>
          <w:sz w:val="24"/>
          <w:szCs w:val="18"/>
          <w:lang w:val="en-US" w:eastAsia="zh-CN"/>
        </w:rPr>
        <w:t>壹</w:t>
      </w:r>
      <w:r>
        <w:rPr>
          <w:rFonts w:hint="eastAsia" w:ascii="宋体" w:hAnsi="宋体"/>
          <w:color w:val="auto"/>
          <w:sz w:val="24"/>
          <w:szCs w:val="18"/>
        </w:rPr>
        <w:t>万元整（</w:t>
      </w:r>
      <w:r>
        <w:rPr>
          <w:rFonts w:ascii="宋体" w:hAnsi="宋体"/>
          <w:color w:val="auto"/>
          <w:sz w:val="24"/>
          <w:szCs w:val="18"/>
        </w:rPr>
        <w:t>¥</w:t>
      </w:r>
      <w:r>
        <w:rPr>
          <w:rFonts w:hint="eastAsia" w:ascii="宋体" w:hAnsi="宋体"/>
          <w:color w:val="auto"/>
          <w:sz w:val="24"/>
          <w:szCs w:val="18"/>
          <w:lang w:val="en-US" w:eastAsia="zh-CN"/>
        </w:rPr>
        <w:t>210</w:t>
      </w:r>
      <w:r>
        <w:rPr>
          <w:rFonts w:hint="eastAsia" w:ascii="宋体" w:hAnsi="宋体"/>
          <w:color w:val="auto"/>
          <w:sz w:val="24"/>
          <w:szCs w:val="18"/>
        </w:rPr>
        <w:t>,000</w:t>
      </w:r>
      <w:r>
        <w:rPr>
          <w:rFonts w:ascii="宋体" w:hAnsi="宋体"/>
          <w:color w:val="auto"/>
          <w:sz w:val="24"/>
          <w:szCs w:val="18"/>
        </w:rPr>
        <w:t>.00</w:t>
      </w:r>
      <w:r>
        <w:rPr>
          <w:rFonts w:hint="eastAsia" w:ascii="宋体" w:hAnsi="宋体"/>
          <w:color w:val="auto"/>
          <w:sz w:val="24"/>
          <w:szCs w:val="18"/>
        </w:rPr>
        <w:t>）</w:t>
      </w:r>
    </w:p>
    <w:p>
      <w:pPr>
        <w:autoSpaceDE w:val="0"/>
        <w:autoSpaceDN w:val="0"/>
        <w:adjustRightInd w:val="0"/>
        <w:spacing w:line="360" w:lineRule="auto"/>
        <w:ind w:firstLine="200"/>
        <w:jc w:val="left"/>
        <w:rPr>
          <w:rFonts w:ascii="宋体" w:hAnsi="宋体"/>
          <w:color w:val="auto"/>
          <w:sz w:val="24"/>
          <w:szCs w:val="18"/>
        </w:rPr>
      </w:pPr>
      <w:r>
        <w:rPr>
          <w:rFonts w:hint="eastAsia" w:ascii="宋体" w:hAnsi="宋体"/>
          <w:color w:val="auto"/>
          <w:sz w:val="24"/>
          <w:szCs w:val="18"/>
        </w:rPr>
        <w:t>8.项目类别：</w:t>
      </w:r>
      <w:r>
        <w:rPr>
          <w:rFonts w:hint="eastAsia" w:ascii="宋体" w:hAnsi="宋体"/>
          <w:color w:val="auto"/>
          <w:sz w:val="24"/>
          <w:szCs w:val="18"/>
          <w:lang w:val="en-US" w:eastAsia="zh-CN"/>
        </w:rPr>
        <w:t>货物</w:t>
      </w:r>
      <w:r>
        <w:rPr>
          <w:rFonts w:hint="eastAsia" w:ascii="宋体" w:hAnsi="宋体"/>
          <w:color w:val="auto"/>
          <w:sz w:val="24"/>
          <w:szCs w:val="18"/>
        </w:rPr>
        <w:t>类</w:t>
      </w:r>
    </w:p>
    <w:p>
      <w:pPr>
        <w:numPr>
          <w:ilvl w:val="0"/>
          <w:numId w:val="4"/>
        </w:numPr>
        <w:autoSpaceDE w:val="0"/>
        <w:autoSpaceDN w:val="0"/>
        <w:adjustRightInd w:val="0"/>
        <w:spacing w:line="360" w:lineRule="auto"/>
        <w:jc w:val="left"/>
        <w:rPr>
          <w:rFonts w:ascii="宋体" w:hAnsi="宋体"/>
          <w:b/>
          <w:bCs/>
          <w:color w:val="auto"/>
          <w:sz w:val="24"/>
          <w:szCs w:val="24"/>
        </w:rPr>
      </w:pPr>
      <w:r>
        <w:rPr>
          <w:rFonts w:hint="eastAsia" w:ascii="宋体" w:hAnsi="宋体"/>
          <w:b/>
          <w:bCs/>
          <w:color w:val="auto"/>
          <w:sz w:val="24"/>
          <w:szCs w:val="24"/>
        </w:rPr>
        <w:t>投标人资格</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1.具有独立承担民事责任的能力；</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2.经营范围须含有水处理药剂或化工经营许可；</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3.具有</w:t>
      </w:r>
      <w:r>
        <w:rPr>
          <w:rFonts w:hint="eastAsia" w:ascii="宋体" w:hAnsi="宋体"/>
          <w:color w:val="auto"/>
          <w:sz w:val="24"/>
          <w:szCs w:val="18"/>
          <w:lang w:val="en-US" w:eastAsia="zh-CN"/>
        </w:rPr>
        <w:t>一</w:t>
      </w:r>
      <w:r>
        <w:rPr>
          <w:rFonts w:hint="eastAsia" w:ascii="宋体" w:hAnsi="宋体"/>
          <w:color w:val="auto"/>
          <w:sz w:val="24"/>
          <w:szCs w:val="18"/>
        </w:rPr>
        <w:t>家及以上游泳馆药剂承包或供应服务业绩；</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4.本项目不接受联合体投标；</w:t>
      </w:r>
    </w:p>
    <w:p>
      <w:pPr>
        <w:autoSpaceDE w:val="0"/>
        <w:autoSpaceDN w:val="0"/>
        <w:adjustRightInd w:val="0"/>
        <w:spacing w:line="460" w:lineRule="exact"/>
        <w:ind w:firstLine="240" w:firstLineChars="100"/>
        <w:jc w:val="left"/>
        <w:rPr>
          <w:rFonts w:ascii="宋体" w:hAnsi="宋体"/>
          <w:color w:val="auto"/>
          <w:sz w:val="24"/>
          <w:szCs w:val="18"/>
        </w:rPr>
      </w:pPr>
      <w:r>
        <w:rPr>
          <w:rFonts w:hint="eastAsia" w:ascii="宋体" w:hAnsi="宋体"/>
          <w:color w:val="auto"/>
          <w:sz w:val="24"/>
          <w:szCs w:val="18"/>
        </w:rPr>
        <w:t>5. 符合下列情形之一：</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1)开标日前两年内未被合肥市及其所辖县（市）公共资源交易监督管理局记不良行为记录或记不良行为记录累计未满10分的。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2)最近一次被合肥市及其所辖县（市）公共资源交易监督管理局记不良行为记录累计记分达10分(含10分)到15分且公布日距开标日超过6个月。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3)最近一次被合肥市及其所辖县（市）公共资源交易监督管理局记不良行为记录累计记分达15分(含15分)到20分且公布日距开标日超过12个月。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4)最近一次被合肥市及其所辖县（市）公共资源交易监督管理局记不良行为记录累计记分达20分(含20分)及以上且公布日距开标日超过24个月。</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6.投标人存在以下不良信用记录情形之一的，不得推荐为中标候选人，不得确定为中标人：</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1）投标人被人民法院列入失信被执行人的；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 xml:space="preserve">2）投标人或其法定代表人或拟派项目经理（项目负责人）被人民检察院列入行贿犯罪档案的； </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3）投标人被工商行政管理部门列入企业经营异常名录的；</w:t>
      </w:r>
    </w:p>
    <w:p>
      <w:pPr>
        <w:autoSpaceDE w:val="0"/>
        <w:autoSpaceDN w:val="0"/>
        <w:adjustRightInd w:val="0"/>
        <w:spacing w:line="460" w:lineRule="exact"/>
        <w:ind w:firstLine="240" w:firstLineChars="100"/>
        <w:jc w:val="left"/>
        <w:rPr>
          <w:rFonts w:ascii="宋体" w:hAnsi="宋体"/>
          <w:color w:val="000000" w:themeColor="text1"/>
          <w:sz w:val="24"/>
          <w:szCs w:val="18"/>
          <w14:textFill>
            <w14:solidFill>
              <w14:schemeClr w14:val="tx1"/>
            </w14:solidFill>
          </w14:textFill>
        </w:rPr>
      </w:pPr>
      <w:r>
        <w:rPr>
          <w:rFonts w:hint="eastAsia" w:ascii="宋体" w:hAnsi="宋体"/>
          <w:color w:val="000000" w:themeColor="text1"/>
          <w:sz w:val="24"/>
          <w:szCs w:val="18"/>
          <w14:textFill>
            <w14:solidFill>
              <w14:schemeClr w14:val="tx1"/>
            </w14:solidFill>
          </w14:textFill>
        </w:rPr>
        <w:t>4）投标人被税务部门列入重大税收违法案件当事人名单的。</w:t>
      </w:r>
    </w:p>
    <w:p>
      <w:pPr>
        <w:autoSpaceDE w:val="0"/>
        <w:autoSpaceDN w:val="0"/>
        <w:adjustRightInd w:val="0"/>
        <w:spacing w:line="460" w:lineRule="exact"/>
        <w:ind w:firstLine="241" w:firstLineChars="100"/>
        <w:jc w:val="left"/>
        <w:rPr>
          <w:rFonts w:ascii="宋体" w:hAnsi="宋体"/>
          <w:b/>
          <w:bCs/>
          <w:color w:val="auto"/>
          <w:sz w:val="24"/>
          <w:szCs w:val="24"/>
        </w:rPr>
      </w:pPr>
      <w:r>
        <w:rPr>
          <w:rFonts w:hint="eastAsia" w:ascii="宋体" w:hAnsi="宋体"/>
          <w:b/>
          <w:bCs/>
          <w:color w:val="auto"/>
          <w:sz w:val="24"/>
          <w:szCs w:val="24"/>
        </w:rPr>
        <w:t>三、投标报名</w:t>
      </w:r>
    </w:p>
    <w:p>
      <w:pPr>
        <w:autoSpaceDE w:val="0"/>
        <w:autoSpaceDN w:val="0"/>
        <w:adjustRightInd w:val="0"/>
        <w:spacing w:line="360" w:lineRule="auto"/>
        <w:ind w:firstLine="200"/>
        <w:jc w:val="left"/>
        <w:rPr>
          <w:rFonts w:hint="eastAsia" w:ascii="宋体" w:hAnsi="宋体"/>
          <w:color w:val="000000" w:themeColor="text1"/>
          <w:sz w:val="24"/>
          <w:szCs w:val="18"/>
          <w14:textFill>
            <w14:solidFill>
              <w14:schemeClr w14:val="tx1"/>
            </w14:solidFill>
          </w14:textFill>
        </w:rPr>
      </w:pPr>
      <w:r>
        <w:rPr>
          <w:rFonts w:hint="eastAsia" w:ascii="宋体" w:hAnsi="宋体"/>
          <w:bCs/>
          <w:color w:val="auto"/>
          <w:sz w:val="24"/>
          <w:szCs w:val="24"/>
        </w:rPr>
        <w:t>1.</w:t>
      </w:r>
      <w:r>
        <w:rPr>
          <w:rFonts w:hint="eastAsia" w:ascii="宋体" w:hAnsi="宋体" w:cs="宋体"/>
          <w:color w:val="auto"/>
          <w:kern w:val="0"/>
          <w:sz w:val="24"/>
          <w:szCs w:val="24"/>
        </w:rPr>
        <w:t>报名日期：</w:t>
      </w:r>
      <w:r>
        <w:rPr>
          <w:rFonts w:hint="eastAsia" w:ascii="宋体" w:hAnsi="宋体"/>
          <w:color w:val="000000" w:themeColor="text1"/>
          <w:sz w:val="24"/>
          <w:szCs w:val="18"/>
          <w14:textFill>
            <w14:solidFill>
              <w14:schemeClr w14:val="tx1"/>
            </w14:solidFill>
          </w14:textFill>
        </w:rPr>
        <w:t>202</w:t>
      </w:r>
      <w:r>
        <w:rPr>
          <w:rFonts w:hint="eastAsia" w:ascii="宋体" w:hAnsi="宋体"/>
          <w:color w:val="000000" w:themeColor="text1"/>
          <w:sz w:val="24"/>
          <w:szCs w:val="18"/>
          <w:lang w:val="en-US" w:eastAsia="zh-CN"/>
          <w14:textFill>
            <w14:solidFill>
              <w14:schemeClr w14:val="tx1"/>
            </w14:solidFill>
          </w14:textFill>
        </w:rPr>
        <w:t>3</w:t>
      </w:r>
      <w:r>
        <w:rPr>
          <w:rFonts w:hint="eastAsia" w:ascii="宋体" w:hAnsi="宋体"/>
          <w:color w:val="000000" w:themeColor="text1"/>
          <w:sz w:val="24"/>
          <w:szCs w:val="18"/>
          <w14:textFill>
            <w14:solidFill>
              <w14:schemeClr w14:val="tx1"/>
            </w14:solidFill>
          </w14:textFill>
        </w:rPr>
        <w:t>年</w:t>
      </w:r>
      <w:r>
        <w:rPr>
          <w:rFonts w:hint="eastAsia" w:ascii="宋体" w:hAnsi="宋体"/>
          <w:color w:val="000000" w:themeColor="text1"/>
          <w:sz w:val="24"/>
          <w:szCs w:val="18"/>
          <w:lang w:val="en-US" w:eastAsia="zh-CN"/>
          <w14:textFill>
            <w14:solidFill>
              <w14:schemeClr w14:val="tx1"/>
            </w14:solidFill>
          </w14:textFill>
        </w:rPr>
        <w:t>3</w:t>
      </w:r>
      <w:r>
        <w:rPr>
          <w:rFonts w:hint="eastAsia" w:ascii="宋体" w:hAnsi="宋体"/>
          <w:color w:val="000000" w:themeColor="text1"/>
          <w:sz w:val="24"/>
          <w:szCs w:val="18"/>
          <w14:textFill>
            <w14:solidFill>
              <w14:schemeClr w14:val="tx1"/>
            </w14:solidFill>
          </w14:textFill>
        </w:rPr>
        <w:t>月</w:t>
      </w:r>
      <w:r>
        <w:rPr>
          <w:rFonts w:hint="eastAsia" w:ascii="宋体" w:hAnsi="宋体"/>
          <w:color w:val="000000" w:themeColor="text1"/>
          <w:sz w:val="24"/>
          <w:szCs w:val="18"/>
          <w:lang w:val="en-US" w:eastAsia="zh-CN"/>
          <w14:textFill>
            <w14:solidFill>
              <w14:schemeClr w14:val="tx1"/>
            </w14:solidFill>
          </w14:textFill>
        </w:rPr>
        <w:t>15</w:t>
      </w:r>
      <w:r>
        <w:rPr>
          <w:rFonts w:hint="eastAsia" w:ascii="宋体" w:hAnsi="宋体"/>
          <w:color w:val="000000" w:themeColor="text1"/>
          <w:sz w:val="24"/>
          <w:szCs w:val="18"/>
          <w14:textFill>
            <w14:solidFill>
              <w14:schemeClr w14:val="tx1"/>
            </w14:solidFill>
          </w14:textFill>
        </w:rPr>
        <w:t>日09:00至202</w:t>
      </w:r>
      <w:r>
        <w:rPr>
          <w:rFonts w:hint="eastAsia" w:ascii="宋体" w:hAnsi="宋体"/>
          <w:color w:val="000000" w:themeColor="text1"/>
          <w:sz w:val="24"/>
          <w:szCs w:val="18"/>
          <w:lang w:val="en-US" w:eastAsia="zh-CN"/>
          <w14:textFill>
            <w14:solidFill>
              <w14:schemeClr w14:val="tx1"/>
            </w14:solidFill>
          </w14:textFill>
        </w:rPr>
        <w:t>3</w:t>
      </w:r>
      <w:r>
        <w:rPr>
          <w:rFonts w:hint="eastAsia" w:ascii="宋体" w:hAnsi="宋体"/>
          <w:color w:val="000000" w:themeColor="text1"/>
          <w:sz w:val="24"/>
          <w:szCs w:val="18"/>
          <w14:textFill>
            <w14:solidFill>
              <w14:schemeClr w14:val="tx1"/>
            </w14:solidFill>
          </w14:textFill>
        </w:rPr>
        <w:t>年3月</w:t>
      </w:r>
      <w:r>
        <w:rPr>
          <w:rFonts w:hint="eastAsia" w:ascii="宋体" w:hAnsi="宋体"/>
          <w:color w:val="000000" w:themeColor="text1"/>
          <w:sz w:val="24"/>
          <w:szCs w:val="18"/>
          <w:lang w:val="en-US" w:eastAsia="zh-CN"/>
          <w14:textFill>
            <w14:solidFill>
              <w14:schemeClr w14:val="tx1"/>
            </w14:solidFill>
          </w14:textFill>
        </w:rPr>
        <w:t>19</w:t>
      </w:r>
      <w:r>
        <w:rPr>
          <w:rFonts w:hint="eastAsia" w:ascii="宋体" w:hAnsi="宋体"/>
          <w:color w:val="000000" w:themeColor="text1"/>
          <w:sz w:val="24"/>
          <w:szCs w:val="18"/>
          <w14:textFill>
            <w14:solidFill>
              <w14:schemeClr w14:val="tx1"/>
            </w14:solidFill>
          </w14:textFill>
        </w:rPr>
        <w:t>日17:00</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2.领取方法：登录合肥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有限公司网站http://www.hftycy.com下载标书</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四、投标保证金</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投标保证金缴纳详见第二章投标人须知前附表</w:t>
      </w: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五、开标时间及地点</w:t>
      </w:r>
    </w:p>
    <w:p>
      <w:pPr>
        <w:autoSpaceDE w:val="0"/>
        <w:autoSpaceDN w:val="0"/>
        <w:adjustRightInd w:val="0"/>
        <w:spacing w:line="360" w:lineRule="auto"/>
        <w:ind w:firstLine="200"/>
        <w:jc w:val="left"/>
        <w:rPr>
          <w:rFonts w:hint="eastAsia" w:ascii="宋体" w:hAnsi="宋体" w:cs="宋体"/>
          <w:color w:val="auto"/>
          <w:kern w:val="0"/>
          <w:sz w:val="24"/>
          <w:szCs w:val="24"/>
        </w:rPr>
      </w:pPr>
      <w:r>
        <w:rPr>
          <w:rFonts w:hint="eastAsia" w:ascii="宋体" w:hAnsi="宋体" w:cs="宋体"/>
          <w:color w:val="auto"/>
          <w:kern w:val="0"/>
          <w:sz w:val="24"/>
          <w:szCs w:val="24"/>
        </w:rPr>
        <w:t>1.开标时间：202</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年3月</w:t>
      </w:r>
      <w:r>
        <w:rPr>
          <w:rFonts w:hint="eastAsia" w:ascii="宋体" w:hAnsi="宋体" w:cs="宋体"/>
          <w:color w:val="auto"/>
          <w:kern w:val="0"/>
          <w:sz w:val="24"/>
          <w:szCs w:val="24"/>
          <w:lang w:val="en-US" w:eastAsia="zh-CN"/>
        </w:rPr>
        <w:t>20</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15：0</w:t>
      </w:r>
      <w:r>
        <w:rPr>
          <w:rFonts w:hint="eastAsia" w:ascii="宋体" w:hAnsi="宋体" w:cs="宋体"/>
          <w:color w:val="auto"/>
          <w:kern w:val="0"/>
          <w:sz w:val="24"/>
          <w:szCs w:val="24"/>
        </w:rPr>
        <w:t>0</w:t>
      </w:r>
    </w:p>
    <w:p>
      <w:pPr>
        <w:autoSpaceDE w:val="0"/>
        <w:autoSpaceDN w:val="0"/>
        <w:adjustRightInd w:val="0"/>
        <w:spacing w:line="360" w:lineRule="auto"/>
        <w:ind w:firstLine="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rPr>
        <w:t>2.开标地点：</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eastAsia" w:ascii="宋体" w:hAnsi="宋体" w:cs="宋体"/>
          <w:b/>
          <w:color w:val="auto"/>
          <w:kern w:val="0"/>
          <w:sz w:val="24"/>
          <w:szCs w:val="24"/>
        </w:rPr>
      </w:pPr>
      <w:r>
        <w:rPr>
          <w:rFonts w:hint="eastAsia" w:ascii="宋体" w:hAnsi="宋体" w:cs="宋体"/>
          <w:b/>
          <w:color w:val="auto"/>
          <w:kern w:val="0"/>
          <w:sz w:val="24"/>
          <w:szCs w:val="24"/>
        </w:rPr>
        <w:t>六、投标截止时间</w:t>
      </w:r>
    </w:p>
    <w:p>
      <w:pPr>
        <w:pStyle w:val="58"/>
        <w:ind w:left="0" w:leftChars="0" w:firstLine="240" w:firstLineChars="100"/>
        <w:rPr>
          <w:rFonts w:hint="eastAsia"/>
        </w:rPr>
      </w:pPr>
      <w:r>
        <w:rPr>
          <w:rFonts w:hint="eastAsia" w:ascii="宋体" w:hAnsi="宋体" w:cs="宋体"/>
          <w:color w:val="auto"/>
          <w:kern w:val="0"/>
          <w:sz w:val="24"/>
          <w:szCs w:val="24"/>
        </w:rPr>
        <w:t>202</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年3月</w:t>
      </w:r>
      <w:r>
        <w:rPr>
          <w:rFonts w:hint="eastAsia" w:ascii="宋体" w:hAnsi="宋体" w:cs="宋体"/>
          <w:color w:val="auto"/>
          <w:kern w:val="0"/>
          <w:sz w:val="24"/>
          <w:szCs w:val="24"/>
          <w:lang w:val="en-US" w:eastAsia="zh-CN"/>
        </w:rPr>
        <w:t>19</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17</w:t>
      </w:r>
      <w:r>
        <w:rPr>
          <w:rFonts w:hint="eastAsia" w:ascii="宋体" w:hAnsi="宋体" w:cs="宋体"/>
          <w:color w:val="auto"/>
          <w:kern w:val="0"/>
          <w:sz w:val="24"/>
          <w:szCs w:val="24"/>
        </w:rPr>
        <w:t>：</w:t>
      </w:r>
      <w:r>
        <w:rPr>
          <w:rFonts w:hint="eastAsia" w:ascii="宋体" w:hAnsi="宋体" w:cs="宋体"/>
          <w:color w:val="auto"/>
          <w:kern w:val="0"/>
          <w:sz w:val="24"/>
          <w:szCs w:val="24"/>
          <w:lang w:val="en-US" w:eastAsia="zh-CN"/>
        </w:rPr>
        <w:t>0</w:t>
      </w:r>
      <w:r>
        <w:rPr>
          <w:rFonts w:hint="eastAsia" w:ascii="宋体" w:hAnsi="宋体" w:cs="宋体"/>
          <w:color w:val="auto"/>
          <w:kern w:val="0"/>
          <w:sz w:val="24"/>
          <w:szCs w:val="24"/>
        </w:rPr>
        <w:t>0</w:t>
      </w:r>
    </w:p>
    <w:p>
      <w:pPr>
        <w:pStyle w:val="58"/>
      </w:pPr>
    </w:p>
    <w:p>
      <w:pPr>
        <w:autoSpaceDE w:val="0"/>
        <w:autoSpaceDN w:val="0"/>
        <w:adjustRightInd w:val="0"/>
        <w:spacing w:line="360" w:lineRule="auto"/>
        <w:ind w:firstLine="200"/>
        <w:jc w:val="left"/>
        <w:rPr>
          <w:rFonts w:ascii="宋体" w:hAnsi="宋体" w:cs="宋体"/>
          <w:b/>
          <w:color w:val="auto"/>
          <w:kern w:val="0"/>
          <w:sz w:val="24"/>
          <w:szCs w:val="24"/>
        </w:rPr>
      </w:pPr>
      <w:r>
        <w:rPr>
          <w:rFonts w:hint="eastAsia" w:ascii="宋体" w:hAnsi="宋体" w:cs="宋体"/>
          <w:b/>
          <w:color w:val="auto"/>
          <w:kern w:val="0"/>
          <w:sz w:val="24"/>
          <w:szCs w:val="24"/>
        </w:rPr>
        <w:t>七、联系方法</w:t>
      </w:r>
    </w:p>
    <w:p>
      <w:pPr>
        <w:autoSpaceDE w:val="0"/>
        <w:autoSpaceDN w:val="0"/>
        <w:adjustRightInd w:val="0"/>
        <w:spacing w:line="360" w:lineRule="auto"/>
        <w:ind w:firstLine="200"/>
        <w:jc w:val="left"/>
        <w:rPr>
          <w:rFonts w:ascii="宋体" w:hAnsi="宋体" w:cs="宋体"/>
          <w:color w:val="auto"/>
          <w:kern w:val="0"/>
          <w:sz w:val="24"/>
          <w:szCs w:val="24"/>
        </w:rPr>
      </w:pPr>
      <w:r>
        <w:rPr>
          <w:rFonts w:hint="eastAsia" w:ascii="宋体" w:hAnsi="宋体" w:cs="宋体"/>
          <w:color w:val="auto"/>
          <w:kern w:val="0"/>
          <w:sz w:val="24"/>
          <w:szCs w:val="24"/>
        </w:rPr>
        <w:t>招 标 人：合肥</w:t>
      </w:r>
      <w:r>
        <w:rPr>
          <w:rFonts w:hint="eastAsia" w:ascii="宋体" w:hAnsi="宋体" w:cs="宋体"/>
          <w:color w:val="auto"/>
          <w:kern w:val="0"/>
          <w:sz w:val="24"/>
          <w:szCs w:val="24"/>
          <w:lang w:val="en-US" w:eastAsia="zh-CN"/>
        </w:rPr>
        <w:t>体育产业投资</w:t>
      </w:r>
      <w:r>
        <w:rPr>
          <w:rFonts w:hint="eastAsia" w:ascii="宋体" w:hAnsi="宋体" w:cs="宋体"/>
          <w:color w:val="auto"/>
          <w:kern w:val="0"/>
          <w:sz w:val="24"/>
          <w:szCs w:val="24"/>
        </w:rPr>
        <w:t>有限公司</w:t>
      </w:r>
    </w:p>
    <w:p>
      <w:pPr>
        <w:autoSpaceDE w:val="0"/>
        <w:autoSpaceDN w:val="0"/>
        <w:adjustRightInd w:val="0"/>
        <w:spacing w:line="360" w:lineRule="auto"/>
        <w:ind w:firstLine="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地    址：</w:t>
      </w:r>
      <w:r>
        <w:rPr>
          <w:rFonts w:hint="eastAsia" w:ascii="宋体" w:hAnsi="宋体" w:cs="宋体"/>
          <w:color w:val="auto"/>
          <w:kern w:val="0"/>
          <w:sz w:val="24"/>
          <w:szCs w:val="24"/>
          <w:lang w:val="en-US" w:eastAsia="zh-CN"/>
        </w:rPr>
        <w:t>合肥体育中心</w:t>
      </w:r>
    </w:p>
    <w:p>
      <w:pPr>
        <w:autoSpaceDE w:val="0"/>
        <w:autoSpaceDN w:val="0"/>
        <w:adjustRightInd w:val="0"/>
        <w:spacing w:line="360" w:lineRule="auto"/>
        <w:ind w:firstLine="200"/>
        <w:jc w:val="left"/>
        <w:rPr>
          <w:rFonts w:hint="default" w:ascii="宋体" w:hAnsi="宋体" w:eastAsia="宋体" w:cs="宋体"/>
          <w:color w:val="auto"/>
          <w:kern w:val="0"/>
          <w:sz w:val="24"/>
          <w:szCs w:val="24"/>
          <w:lang w:val="en-US" w:eastAsia="zh-CN"/>
        </w:rPr>
      </w:pPr>
      <w:r>
        <w:rPr>
          <w:rFonts w:hint="eastAsia" w:ascii="宋体" w:hAnsi="宋体" w:cs="宋体"/>
          <w:color w:val="auto"/>
          <w:kern w:val="0"/>
          <w:sz w:val="24"/>
          <w:szCs w:val="24"/>
        </w:rPr>
        <w:t>联 系 人：</w:t>
      </w:r>
      <w:r>
        <w:rPr>
          <w:rFonts w:hint="eastAsia" w:ascii="宋体" w:hAnsi="宋体" w:cs="宋体"/>
          <w:color w:val="auto"/>
          <w:kern w:val="0"/>
          <w:sz w:val="24"/>
          <w:szCs w:val="24"/>
          <w:lang w:val="en-US" w:eastAsia="zh-CN"/>
        </w:rPr>
        <w:t>孙</w:t>
      </w:r>
      <w:r>
        <w:rPr>
          <w:rFonts w:hint="eastAsia" w:ascii="宋体" w:hAnsi="宋体" w:cs="宋体"/>
          <w:color w:val="auto"/>
          <w:kern w:val="0"/>
          <w:sz w:val="24"/>
          <w:szCs w:val="24"/>
        </w:rPr>
        <w:t>工</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0551--63363087</w:t>
      </w:r>
      <w:r>
        <w:rPr>
          <w:rFonts w:hint="eastAsia" w:ascii="宋体" w:hAnsi="宋体" w:cs="宋体"/>
          <w:color w:val="auto"/>
          <w:kern w:val="0"/>
          <w:sz w:val="24"/>
          <w:szCs w:val="24"/>
          <w:lang w:val="en-US" w:eastAsia="zh-CN"/>
        </w:rPr>
        <w:t xml:space="preserve"> 张工 18556538568</w:t>
      </w: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pStyle w:val="2"/>
      </w:pPr>
    </w:p>
    <w:p>
      <w:pPr>
        <w:autoSpaceDE w:val="0"/>
        <w:autoSpaceDN w:val="0"/>
        <w:adjustRightInd w:val="0"/>
        <w:spacing w:line="360" w:lineRule="auto"/>
        <w:ind w:firstLine="3833" w:firstLineChars="1193"/>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outlineLvl w:val="0"/>
        <w:rPr>
          <w:rFonts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bookmarkStart w:id="7" w:name="_Toc5822"/>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hint="eastAsia" w:ascii="宋体" w:hAnsi="宋体"/>
          <w:b/>
          <w:bCs/>
          <w:color w:val="000000" w:themeColor="text1"/>
          <w:sz w:val="32"/>
          <w:szCs w:val="32"/>
          <w14:textFill>
            <w14:solidFill>
              <w14:schemeClr w14:val="tx1"/>
            </w14:solidFill>
          </w14:textFill>
        </w:rPr>
      </w:pPr>
    </w:p>
    <w:p>
      <w:pPr>
        <w:autoSpaceDE w:val="0"/>
        <w:autoSpaceDN w:val="0"/>
        <w:adjustRightInd w:val="0"/>
        <w:spacing w:line="360" w:lineRule="auto"/>
        <w:jc w:val="center"/>
        <w:outlineLvl w:val="0"/>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第二章 投标人须</w:t>
      </w:r>
      <w:bookmarkEnd w:id="5"/>
      <w:r>
        <w:rPr>
          <w:rFonts w:hint="eastAsia" w:ascii="宋体" w:hAnsi="宋体"/>
          <w:b/>
          <w:bCs/>
          <w:color w:val="000000" w:themeColor="text1"/>
          <w:sz w:val="32"/>
          <w:szCs w:val="32"/>
          <w14:textFill>
            <w14:solidFill>
              <w14:schemeClr w14:val="tx1"/>
            </w14:solidFill>
          </w14:textFill>
        </w:rPr>
        <w:t>知</w:t>
      </w:r>
      <w:bookmarkEnd w:id="6"/>
      <w:r>
        <w:rPr>
          <w:rFonts w:hint="eastAsia" w:ascii="宋体" w:hAnsi="宋体"/>
          <w:b/>
          <w:bCs/>
          <w:color w:val="000000" w:themeColor="text1"/>
          <w:sz w:val="32"/>
          <w:szCs w:val="32"/>
          <w14:textFill>
            <w14:solidFill>
              <w14:schemeClr w14:val="tx1"/>
            </w14:solidFill>
          </w14:textFill>
        </w:rPr>
        <w:t>前附表</w:t>
      </w:r>
      <w:bookmarkEnd w:id="7"/>
    </w:p>
    <w:tbl>
      <w:tblPr>
        <w:tblStyle w:val="50"/>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559"/>
        <w:gridCol w:w="7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1559"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内容</w:t>
            </w:r>
          </w:p>
        </w:tc>
        <w:tc>
          <w:tcPr>
            <w:tcW w:w="7077" w:type="dxa"/>
            <w:vAlign w:val="center"/>
          </w:tcPr>
          <w:p>
            <w:pPr>
              <w:pStyle w:val="75"/>
              <w:widowControl w:val="0"/>
              <w:spacing w:before="0" w:beforeAutospacing="0" w:after="0" w:afterAutospacing="0"/>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pStyle w:val="66"/>
              <w:pBdr>
                <w:bottom w:val="none" w:color="auto" w:sz="0" w:space="0"/>
              </w:pBdr>
              <w:tabs>
                <w:tab w:val="clear" w:pos="4153"/>
                <w:tab w:val="clear" w:pos="8306"/>
              </w:tabs>
              <w:adjustRightInd/>
              <w:spacing w:line="240" w:lineRule="auto"/>
              <w:textAlignment w:val="auto"/>
              <w:rPr>
                <w:rFonts w:ascii="宋体" w:hAnsi="宋体"/>
                <w:bCs/>
                <w:color w:val="000000" w:themeColor="text1"/>
                <w:kern w:val="2"/>
                <w14:textFill>
                  <w14:solidFill>
                    <w14:schemeClr w14:val="tx1"/>
                  </w14:solidFill>
                </w14:textFill>
              </w:rPr>
            </w:pPr>
            <w:r>
              <w:rPr>
                <w:rFonts w:hint="eastAsia" w:ascii="宋体" w:hAnsi="宋体"/>
                <w:bCs/>
                <w:color w:val="000000" w:themeColor="text1"/>
                <w:kern w:val="2"/>
                <w14:textFill>
                  <w14:solidFill>
                    <w14:schemeClr w14:val="tx1"/>
                  </w14:solidFill>
                </w14:textFill>
              </w:rPr>
              <w:t>1</w:t>
            </w:r>
          </w:p>
        </w:tc>
        <w:tc>
          <w:tcPr>
            <w:tcW w:w="1559" w:type="dxa"/>
            <w:vAlign w:val="center"/>
          </w:tcPr>
          <w:p>
            <w:pPr>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招标人</w:t>
            </w:r>
          </w:p>
        </w:tc>
        <w:tc>
          <w:tcPr>
            <w:tcW w:w="7077" w:type="dxa"/>
            <w:vAlign w:val="center"/>
          </w:tcPr>
          <w:p>
            <w:pPr>
              <w:pStyle w:val="75"/>
              <w:widowControl w:val="0"/>
              <w:spacing w:before="0" w:beforeAutospacing="0" w:after="0" w:afterAutospacing="0"/>
              <w:jc w:val="both"/>
              <w:rPr>
                <w:b w:val="0"/>
                <w:color w:val="000000" w:themeColor="text1"/>
                <w:kern w:val="2"/>
                <w:sz w:val="24"/>
                <w:szCs w:val="20"/>
                <w14:textFill>
                  <w14:solidFill>
                    <w14:schemeClr w14:val="tx1"/>
                  </w14:solidFill>
                </w14:textFill>
              </w:rPr>
            </w:pPr>
            <w:r>
              <w:rPr>
                <w:rFonts w:hint="eastAsia"/>
                <w:b w:val="0"/>
                <w:bCs w:val="0"/>
                <w:color w:val="000000" w:themeColor="text1"/>
                <w:sz w:val="24"/>
                <w:szCs w:val="18"/>
                <w14:textFill>
                  <w14:solidFill>
                    <w14:schemeClr w14:val="tx1"/>
                  </w14:solidFill>
                </w14:textFill>
              </w:rPr>
              <w:t>合肥体育产业投资有限公司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7077" w:type="dxa"/>
            <w:vAlign w:val="center"/>
          </w:tcPr>
          <w:p>
            <w:pPr>
              <w:tabs>
                <w:tab w:val="left" w:pos="2410"/>
              </w:tabs>
              <w:autoSpaceDE w:val="0"/>
              <w:autoSpaceDN w:val="0"/>
              <w:adjustRightInd w:val="0"/>
              <w:snapToGrid w:val="0"/>
              <w:spacing w:line="360" w:lineRule="auto"/>
              <w:rPr>
                <w:rFonts w:ascii="宋体" w:hAnsi="宋体"/>
                <w:color w:val="000000" w:themeColor="text1"/>
                <w:kern w:val="0"/>
                <w:sz w:val="24"/>
                <w:szCs w:val="18"/>
                <w14:textFill>
                  <w14:solidFill>
                    <w14:schemeClr w14:val="tx1"/>
                  </w14:solidFill>
                </w14:textFill>
              </w:rPr>
            </w:pPr>
            <w:r>
              <w:rPr>
                <w:rFonts w:hint="eastAsia" w:ascii="宋体" w:hAnsi="宋体"/>
                <w:color w:val="000000" w:themeColor="text1"/>
                <w:kern w:val="0"/>
                <w:sz w:val="24"/>
                <w:szCs w:val="18"/>
                <w14:textFill>
                  <w14:solidFill>
                    <w14:schemeClr w14:val="tx1"/>
                  </w14:solidFill>
                </w14:textFill>
              </w:rPr>
              <w:t>合肥体育中心游泳馆及天鹅湖全民健身中心游泳馆202</w:t>
            </w:r>
            <w:r>
              <w:rPr>
                <w:rFonts w:hint="eastAsia" w:ascii="宋体" w:hAnsi="宋体"/>
                <w:color w:val="000000" w:themeColor="text1"/>
                <w:kern w:val="0"/>
                <w:sz w:val="24"/>
                <w:szCs w:val="18"/>
                <w:lang w:val="en-US" w:eastAsia="zh-CN"/>
                <w14:textFill>
                  <w14:solidFill>
                    <w14:schemeClr w14:val="tx1"/>
                  </w14:solidFill>
                </w14:textFill>
              </w:rPr>
              <w:t>3</w:t>
            </w:r>
            <w:r>
              <w:rPr>
                <w:rFonts w:hint="eastAsia" w:ascii="宋体" w:hAnsi="宋体"/>
                <w:color w:val="000000" w:themeColor="text1"/>
                <w:kern w:val="0"/>
                <w:sz w:val="24"/>
                <w:szCs w:val="18"/>
                <w14:textFill>
                  <w14:solidFill>
                    <w14:schemeClr w14:val="tx1"/>
                  </w14:solidFill>
                </w14:textFill>
              </w:rPr>
              <w:t>年度水处理药剂及水质养护服务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3</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项目编号</w:t>
            </w:r>
          </w:p>
        </w:tc>
        <w:tc>
          <w:tcPr>
            <w:tcW w:w="7077" w:type="dxa"/>
            <w:vAlign w:val="center"/>
          </w:tcPr>
          <w:p>
            <w:pPr>
              <w:autoSpaceDE w:val="0"/>
              <w:autoSpaceDN w:val="0"/>
              <w:adjustRightInd w:val="0"/>
              <w:spacing w:line="430" w:lineRule="exact"/>
              <w:jc w:val="lef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2023TYGSCG08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4</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项目性质</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lang w:val="en-US" w:eastAsia="zh-CN"/>
                <w14:textFill>
                  <w14:solidFill>
                    <w14:schemeClr w14:val="tx1"/>
                  </w14:solidFill>
                </w14:textFill>
              </w:rPr>
              <w:t>货物</w:t>
            </w:r>
            <w:r>
              <w:rPr>
                <w:rFonts w:hint="eastAsia"/>
                <w:b w:val="0"/>
                <w:bCs w:val="0"/>
                <w:color w:val="000000" w:themeColor="text1"/>
                <w:sz w:val="24"/>
                <w14:textFill>
                  <w14:solidFill>
                    <w14:schemeClr w14:val="tx1"/>
                  </w14:solidFill>
                </w14:textFill>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5</w:t>
            </w:r>
          </w:p>
        </w:tc>
        <w:tc>
          <w:tcPr>
            <w:tcW w:w="155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资金来源</w:t>
            </w:r>
          </w:p>
        </w:tc>
        <w:tc>
          <w:tcPr>
            <w:tcW w:w="7077" w:type="dxa"/>
            <w:vAlign w:val="center"/>
          </w:tcPr>
          <w:p>
            <w:pPr>
              <w:pStyle w:val="75"/>
              <w:widowControl w:val="0"/>
              <w:spacing w:before="0" w:beforeAutospacing="0" w:after="0" w:afterAutospacing="0"/>
              <w:jc w:val="both"/>
              <w:rPr>
                <w:b w:val="0"/>
                <w:bCs w:val="0"/>
                <w:color w:val="000000" w:themeColor="text1"/>
                <w:sz w:val="24"/>
                <w14:textFill>
                  <w14:solidFill>
                    <w14:schemeClr w14:val="tx1"/>
                  </w14:solidFill>
                </w14:textFill>
              </w:rPr>
            </w:pPr>
            <w:r>
              <w:rPr>
                <w:rFonts w:hint="eastAsia"/>
                <w:b w:val="0"/>
                <w:bCs w:val="0"/>
                <w:color w:val="000000" w:themeColor="text1"/>
                <w:sz w:val="24"/>
                <w14:textFill>
                  <w14:solidFill>
                    <w14:schemeClr w14:val="tx1"/>
                  </w14:solidFill>
                </w14:textFill>
              </w:rPr>
              <w:t xml:space="preserve">□财政投资    </w:t>
            </w:r>
            <w:r>
              <w:rPr>
                <w:rFonts w:hint="eastAsia"/>
                <w:b w:val="0"/>
                <w:bCs w:val="0"/>
                <w:color w:val="000000" w:themeColor="text1"/>
                <w:sz w:val="24"/>
                <w14:textFill>
                  <w14:solidFill>
                    <w14:schemeClr w14:val="tx1"/>
                  </w14:solidFill>
                </w14:textFill>
              </w:rPr>
              <w:sym w:font="Wingdings" w:char="F0FE"/>
            </w:r>
            <w:r>
              <w:rPr>
                <w:rFonts w:hint="eastAsia"/>
                <w:b w:val="0"/>
                <w:bCs w:val="0"/>
                <w:color w:val="000000" w:themeColor="text1"/>
                <w:sz w:val="24"/>
                <w14:textFill>
                  <w14:solidFill>
                    <w14:schemeClr w14:val="tx1"/>
                  </w14:solidFill>
                </w14:textFill>
              </w:rPr>
              <w:t>委托人</w:t>
            </w:r>
            <w:r>
              <w:rPr>
                <w:rFonts w:hint="eastAsia"/>
                <w:b w:val="0"/>
                <w:color w:val="000000" w:themeColor="text1"/>
                <w:sz w:val="24"/>
                <w14:textFill>
                  <w14:solidFill>
                    <w14:schemeClr w14:val="tx1"/>
                  </w14:solidFill>
                </w14:textFill>
              </w:rPr>
              <w:t xml:space="preserve">自筹    </w:t>
            </w:r>
            <w:r>
              <w:rPr>
                <w:rFonts w:hint="eastAsia"/>
                <w:b w:val="0"/>
                <w:bCs w:val="0"/>
                <w:color w:val="000000" w:themeColor="text1"/>
                <w:sz w:val="24"/>
                <w14:textFill>
                  <w14:solidFill>
                    <w14:schemeClr w14:val="tx1"/>
                  </w14:solidFill>
                </w14:textFill>
              </w:rPr>
              <w:t>□</w:t>
            </w:r>
            <w:r>
              <w:rPr>
                <w:rFonts w:hint="eastAsia"/>
                <w:b w:val="0"/>
                <w:color w:val="000000" w:themeColor="text1"/>
                <w:sz w:val="24"/>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709" w:type="dxa"/>
            <w:vAlign w:val="center"/>
          </w:tcPr>
          <w:p>
            <w:pPr>
              <w:jc w:val="center"/>
              <w:rPr>
                <w:rFonts w:hint="eastAsia" w:ascii="宋体" w:hAnsi="宋体" w:eastAsia="宋体"/>
                <w:bCs/>
                <w:color w:val="000000" w:themeColor="text1"/>
                <w:sz w:val="24"/>
                <w:lang w:val="en-US" w:eastAsia="zh-CN"/>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6</w:t>
            </w:r>
          </w:p>
        </w:tc>
        <w:tc>
          <w:tcPr>
            <w:tcW w:w="1559" w:type="dxa"/>
          </w:tcPr>
          <w:p>
            <w:pPr>
              <w:spacing w:line="500" w:lineRule="exact"/>
              <w:jc w:val="center"/>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标段划分</w:t>
            </w:r>
          </w:p>
        </w:tc>
        <w:tc>
          <w:tcPr>
            <w:tcW w:w="7077" w:type="dxa"/>
            <w:vAlign w:val="center"/>
          </w:tcPr>
          <w:p>
            <w:pPr>
              <w:spacing w:line="500" w:lineRule="exact"/>
              <w:ind w:left="841" w:hanging="841"/>
              <w:rPr>
                <w:rFonts w:ascii="宋体" w:hAnsi="宋体"/>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sym w:font="Wingdings" w:char="F0FE"/>
            </w:r>
            <w:r>
              <w:rPr>
                <w:rFonts w:hint="eastAsia" w:ascii="宋体" w:hAnsi="宋体"/>
                <w:color w:val="000000" w:themeColor="text1"/>
                <w:sz w:val="24"/>
                <w14:textFill>
                  <w14:solidFill>
                    <w14:schemeClr w14:val="tx1"/>
                  </w14:solidFill>
                </w14:textFill>
              </w:rPr>
              <w:t>不分标段   □分为  个标段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709" w:type="dxa"/>
            <w:vAlign w:val="center"/>
          </w:tcPr>
          <w:p>
            <w:pPr>
              <w:spacing w:line="500" w:lineRule="exact"/>
              <w:ind w:right="102"/>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付款方式</w:t>
            </w:r>
          </w:p>
        </w:tc>
        <w:tc>
          <w:tcPr>
            <w:tcW w:w="7077" w:type="dxa"/>
          </w:tcPr>
          <w:p>
            <w:pPr>
              <w:spacing w:line="360" w:lineRule="auto"/>
              <w:rPr>
                <w:rFonts w:ascii="宋体" w:hAnsi="宋体"/>
                <w:bCs/>
                <w:color w:val="auto"/>
                <w:sz w:val="24"/>
              </w:rPr>
            </w:pPr>
            <w:r>
              <w:rPr>
                <w:rFonts w:hint="eastAsia" w:ascii="宋体" w:hAnsi="宋体"/>
                <w:bCs/>
                <w:color w:val="auto"/>
                <w:sz w:val="24"/>
                <w:lang w:val="en-US" w:eastAsia="zh-CN"/>
              </w:rPr>
              <w:t>根据中标人实际送货量据实结算，按季度支付，全年费用不得超出中标总价（超出部分中标人自行承担），</w:t>
            </w:r>
            <w:r>
              <w:rPr>
                <w:rFonts w:hint="eastAsia" w:ascii="宋体" w:hAnsi="宋体"/>
                <w:bCs/>
                <w:color w:val="auto"/>
                <w:sz w:val="24"/>
              </w:rPr>
              <w:t>付款前中标人需向委托人交付等额的合法有效的增值税专用发票，否则委托人有权拒绝或者延迟付款，且不承担违约责任。</w:t>
            </w:r>
          </w:p>
          <w:p>
            <w:pPr>
              <w:spacing w:line="360" w:lineRule="auto"/>
              <w:jc w:val="left"/>
              <w:rPr>
                <w:rFonts w:ascii="宋体" w:hAnsi="宋体"/>
                <w:bCs/>
                <w:color w:val="auto"/>
                <w:sz w:val="24"/>
              </w:rPr>
            </w:pPr>
            <w:r>
              <w:rPr>
                <w:rFonts w:hint="eastAsia" w:ascii="宋体" w:hAnsi="宋体"/>
                <w:bCs/>
                <w:color w:val="auto"/>
                <w:sz w:val="24"/>
              </w:rPr>
              <w:t>投标人提交的投标文件中如有关于付款条件的表述与招标文件规定不符，投标无效。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联合体投标</w:t>
            </w:r>
          </w:p>
        </w:tc>
        <w:tc>
          <w:tcPr>
            <w:tcW w:w="7077" w:type="dxa"/>
            <w:vAlign w:val="center"/>
          </w:tcPr>
          <w:p>
            <w:pPr>
              <w:spacing w:line="5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zh-CN"/>
              </w:rPr>
              <w:t xml:space="preserve">接受  </w:t>
            </w:r>
            <w:r>
              <w:rPr>
                <w:b/>
                <w:bCs/>
                <w:color w:val="auto"/>
                <w:sz w:val="24"/>
              </w:rPr>
              <w:sym w:font="Wingdings" w:char="F0FE"/>
            </w:r>
            <w:r>
              <w:rPr>
                <w:rFonts w:hint="eastAsia" w:ascii="宋体" w:hAnsi="宋体"/>
                <w:color w:val="auto"/>
                <w:sz w:val="24"/>
              </w:rPr>
              <w:t>不</w:t>
            </w:r>
            <w:r>
              <w:rPr>
                <w:rFonts w:hint="eastAsia" w:ascii="宋体" w:hAnsi="宋体"/>
                <w:color w:val="auto"/>
                <w:sz w:val="24"/>
                <w:lang w:val="zh-CN"/>
              </w:rPr>
              <w:t>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投标有效期</w:t>
            </w:r>
          </w:p>
        </w:tc>
        <w:tc>
          <w:tcPr>
            <w:tcW w:w="7077" w:type="dxa"/>
            <w:vAlign w:val="center"/>
          </w:tcPr>
          <w:p>
            <w:pPr>
              <w:spacing w:line="500" w:lineRule="exact"/>
              <w:rPr>
                <w:rFonts w:ascii="宋体" w:hAnsi="宋体"/>
                <w:color w:val="auto"/>
                <w:sz w:val="24"/>
              </w:rPr>
            </w:pPr>
            <w:r>
              <w:rPr>
                <w:rFonts w:ascii="宋体" w:hAnsi="宋体"/>
                <w:color w:val="auto"/>
                <w:sz w:val="24"/>
              </w:rPr>
              <w:t>3</w:t>
            </w:r>
            <w:r>
              <w:rPr>
                <w:rFonts w:hint="eastAsia" w:ascii="宋体" w:hAnsi="宋体"/>
                <w:color w:val="auto"/>
                <w:sz w:val="24"/>
              </w:rPr>
              <w:t>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供货地点</w:t>
            </w:r>
          </w:p>
        </w:tc>
        <w:tc>
          <w:tcPr>
            <w:tcW w:w="7077" w:type="dxa"/>
            <w:vAlign w:val="center"/>
          </w:tcPr>
          <w:p>
            <w:pPr>
              <w:spacing w:line="500" w:lineRule="exact"/>
              <w:rPr>
                <w:rFonts w:ascii="宋体" w:hAnsi="宋体"/>
                <w:color w:val="auto"/>
                <w:kern w:val="0"/>
                <w:sz w:val="24"/>
              </w:rPr>
            </w:pPr>
            <w:r>
              <w:rPr>
                <w:rFonts w:hint="eastAsia" w:ascii="宋体" w:hAnsi="宋体"/>
                <w:color w:val="auto"/>
                <w:kern w:val="0"/>
                <w:sz w:val="24"/>
              </w:rPr>
              <w:t>合肥体育中心游泳馆</w:t>
            </w:r>
            <w:r>
              <w:rPr>
                <w:rFonts w:hint="eastAsia" w:ascii="宋体" w:hAnsi="宋体"/>
                <w:color w:val="auto"/>
                <w:kern w:val="0"/>
                <w:sz w:val="24"/>
                <w:lang w:eastAsia="zh-CN"/>
              </w:rPr>
              <w:t>、</w:t>
            </w:r>
            <w:r>
              <w:rPr>
                <w:rFonts w:hint="eastAsia" w:ascii="宋体" w:hAnsi="宋体"/>
                <w:color w:val="auto"/>
                <w:kern w:val="0"/>
                <w:sz w:val="24"/>
              </w:rPr>
              <w:t>天鹅湖全民健身中心游泳馆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供货期限</w:t>
            </w:r>
          </w:p>
        </w:tc>
        <w:tc>
          <w:tcPr>
            <w:tcW w:w="7077" w:type="dxa"/>
            <w:vAlign w:val="center"/>
          </w:tcPr>
          <w:p>
            <w:pPr>
              <w:autoSpaceDE w:val="0"/>
              <w:autoSpaceDN w:val="0"/>
              <w:adjustRightInd w:val="0"/>
              <w:spacing w:line="440" w:lineRule="exact"/>
              <w:jc w:val="left"/>
              <w:rPr>
                <w:rFonts w:hint="eastAsia" w:ascii="宋体" w:hAnsi="宋体" w:eastAsia="宋体" w:cs="宋体"/>
                <w:b/>
                <w:color w:val="auto"/>
                <w:kern w:val="0"/>
                <w:sz w:val="24"/>
                <w:lang w:eastAsia="zh-CN"/>
              </w:rPr>
            </w:pPr>
            <w:r>
              <w:rPr>
                <w:rFonts w:hint="eastAsia" w:ascii="宋体" w:hAnsi="宋体"/>
                <w:color w:val="auto"/>
                <w:sz w:val="24"/>
              </w:rPr>
              <w:t>合肥体育中心游泳馆</w:t>
            </w:r>
            <w:r>
              <w:rPr>
                <w:rFonts w:hint="eastAsia" w:ascii="宋体" w:hAnsi="宋体"/>
                <w:color w:val="auto"/>
                <w:sz w:val="24"/>
                <w:lang w:eastAsia="zh-CN"/>
              </w:rPr>
              <w:t>、</w:t>
            </w:r>
            <w:r>
              <w:rPr>
                <w:rFonts w:hint="eastAsia" w:ascii="宋体" w:hAnsi="宋体"/>
                <w:color w:val="auto"/>
                <w:sz w:val="24"/>
              </w:rPr>
              <w:t>天鹅湖全民健身中心游泳馆：自合同签订之日起一年</w:t>
            </w:r>
            <w:r>
              <w:rPr>
                <w:rFonts w:hint="eastAsia" w:ascii="宋体" w:hAnsi="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2</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踏勘现场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 xml:space="preserve">自行踏勘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3</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投标文件</w:t>
            </w:r>
          </w:p>
        </w:tc>
        <w:tc>
          <w:tcPr>
            <w:tcW w:w="7077" w:type="dxa"/>
            <w:vAlign w:val="center"/>
          </w:tcPr>
          <w:p>
            <w:pPr>
              <w:spacing w:line="500" w:lineRule="exact"/>
              <w:rPr>
                <w:b/>
                <w:bCs/>
                <w:color w:val="000000" w:themeColor="text1"/>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正、副本各一，装订成册并封装于一个文件袋内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4</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p>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及地点</w:t>
            </w:r>
          </w:p>
        </w:tc>
        <w:tc>
          <w:tcPr>
            <w:tcW w:w="7077" w:type="dxa"/>
            <w:vAlign w:val="center"/>
          </w:tcPr>
          <w:p>
            <w:pPr>
              <w:spacing w:line="500" w:lineRule="exact"/>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开标时间：</w:t>
            </w:r>
            <w:r>
              <w:rPr>
                <w:rFonts w:hint="eastAsia" w:ascii="宋体" w:hAnsi="宋体"/>
                <w:color w:val="000000" w:themeColor="text1"/>
                <w:sz w:val="24"/>
                <w:lang w:val="zh-CN"/>
                <w14:textFill>
                  <w14:solidFill>
                    <w14:schemeClr w14:val="tx1"/>
                  </w14:solidFill>
                </w14:textFill>
              </w:rPr>
              <w:t>详见招标公告</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开标地点：</w:t>
            </w:r>
            <w:r>
              <w:rPr>
                <w:rFonts w:hint="eastAsia" w:ascii="宋体" w:hAnsi="宋体"/>
                <w:color w:val="000000" w:themeColor="text1"/>
                <w:sz w:val="24"/>
                <w:lang w:val="zh-CN"/>
                <w14:textFill>
                  <w14:solidFill>
                    <w14:schemeClr w14:val="tx1"/>
                  </w14:solidFill>
                </w14:textFill>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5</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评标办法</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u w:val="single"/>
                <w:lang w:eastAsia="zh-CN"/>
                <w14:textFill>
                  <w14:solidFill>
                    <w14:schemeClr w14:val="tx1"/>
                  </w14:solidFill>
                </w14:textFill>
              </w:rPr>
              <w:t>。</w:t>
            </w:r>
            <w:r>
              <w:rPr>
                <w:rFonts w:hint="eastAsia" w:ascii="宋体" w:hAnsi="宋体"/>
                <w:color w:val="000000" w:themeColor="text1"/>
                <w:sz w:val="24"/>
                <w14:textFill>
                  <w14:solidFill>
                    <w14:schemeClr w14:val="tx1"/>
                  </w14:solidFill>
                </w14:textFill>
              </w:rPr>
              <w:t>详见招标文件第五章评标办法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6</w:t>
            </w:r>
          </w:p>
        </w:tc>
        <w:tc>
          <w:tcPr>
            <w:tcW w:w="1559" w:type="dxa"/>
            <w:vAlign w:val="center"/>
          </w:tcPr>
          <w:p>
            <w:pPr>
              <w:spacing w:line="500" w:lineRule="exact"/>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现场</w:t>
            </w:r>
          </w:p>
        </w:tc>
        <w:tc>
          <w:tcPr>
            <w:tcW w:w="7077" w:type="dxa"/>
            <w:vAlign w:val="center"/>
          </w:tcPr>
          <w:p>
            <w:pPr>
              <w:spacing w:line="500" w:lineRule="exact"/>
              <w:rPr>
                <w:rFonts w:ascii="宋体" w:hAnsi="宋体"/>
                <w:color w:val="000000" w:themeColor="text1"/>
                <w:sz w:val="24"/>
                <w:lang w:val="zh-CN"/>
                <w14:textFill>
                  <w14:solidFill>
                    <w14:schemeClr w14:val="tx1"/>
                  </w14:solidFill>
                </w14:textFill>
              </w:rPr>
            </w:pPr>
            <w:r>
              <w:rPr>
                <w:rFonts w:hint="eastAsia"/>
                <w:b/>
                <w:bCs/>
                <w:color w:val="000000" w:themeColor="text1"/>
                <w:sz w:val="24"/>
                <w14:textFill>
                  <w14:solidFill>
                    <w14:schemeClr w14:val="tx1"/>
                  </w14:solidFill>
                </w14:textFill>
              </w:rPr>
              <w:sym w:font="Wingdings" w:char="F0FE"/>
            </w:r>
            <w:r>
              <w:rPr>
                <w:rFonts w:hint="eastAsia" w:ascii="宋体" w:hAnsi="宋体"/>
                <w:bCs/>
                <w:color w:val="000000" w:themeColor="text1"/>
                <w:sz w:val="24"/>
                <w14:textFill>
                  <w14:solidFill>
                    <w14:schemeClr w14:val="tx1"/>
                  </w14:solidFill>
                </w14:textFill>
              </w:rPr>
              <w:t>自行</w:t>
            </w:r>
            <w:r>
              <w:rPr>
                <w:rFonts w:hint="eastAsia" w:ascii="宋体" w:hAnsi="宋体"/>
                <w:bCs/>
                <w:color w:val="000000" w:themeColor="text1"/>
                <w:sz w:val="24"/>
                <w:u w:color="FFFFFF"/>
                <w14:textFill>
                  <w14:solidFill>
                    <w14:schemeClr w14:val="tx1"/>
                  </w14:solidFill>
                </w14:textFill>
              </w:rPr>
              <w:t>踏勘</w:t>
            </w:r>
            <w:r>
              <w:rPr>
                <w:rFonts w:hint="eastAsia" w:ascii="宋体" w:hAnsi="宋体"/>
                <w:bCs/>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□招标人</w:t>
            </w:r>
            <w:r>
              <w:rPr>
                <w:rFonts w:hint="eastAsia" w:ascii="宋体" w:hAnsi="宋体"/>
                <w:color w:val="000000" w:themeColor="text1"/>
                <w:sz w:val="24"/>
                <w:lang w:val="zh-CN"/>
                <w14:textFill>
                  <w14:solidFill>
                    <w14:schemeClr w14:val="tx1"/>
                  </w14:solidFill>
                </w14:textFill>
              </w:rPr>
              <w:t>统一组织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16</w:t>
            </w:r>
          </w:p>
        </w:tc>
        <w:tc>
          <w:tcPr>
            <w:tcW w:w="1559" w:type="dxa"/>
            <w:vAlign w:val="center"/>
          </w:tcPr>
          <w:p>
            <w:pPr>
              <w:spacing w:line="500" w:lineRule="exact"/>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履约保证金</w:t>
            </w:r>
          </w:p>
        </w:tc>
        <w:tc>
          <w:tcPr>
            <w:tcW w:w="7077" w:type="dxa"/>
            <w:vAlign w:val="center"/>
          </w:tcPr>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1.履约保证金数额：中标价的</w:t>
            </w:r>
            <w:r>
              <w:rPr>
                <w:rFonts w:hint="eastAsia" w:ascii="宋体" w:hAnsi="宋体"/>
                <w:color w:val="000000" w:themeColor="text1"/>
                <w:sz w:val="24"/>
                <w:szCs w:val="24"/>
                <w:u w:val="single"/>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w:t>
            </w:r>
          </w:p>
          <w:p>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2.收受方式为：□现金保证 □现金支票 □银行汇票</w:t>
            </w:r>
          </w:p>
          <w:p>
            <w:pPr>
              <w:adjustRightInd w:val="0"/>
              <w:snapToGrid w:val="0"/>
              <w:spacing w:line="360" w:lineRule="auto"/>
              <w:ind w:firstLine="840" w:firstLineChars="3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□银行保函</w:t>
            </w:r>
            <w:r>
              <w:rPr>
                <w:rFonts w:hint="eastAsia" w:ascii="MS Mincho" w:hAnsi="MS Mincho" w:eastAsia="MS Mincho" w:cs="MS Mincho"/>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银行转账 □工程担保  □保证保险</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3.收受人为:□招标人、</w:t>
            </w:r>
            <w:r>
              <w:rPr>
                <w:rFonts w:ascii="宋体" w:hAnsi="宋体"/>
                <w:color w:val="000000" w:themeColor="text1"/>
                <w:sz w:val="24"/>
                <w:szCs w:val="24"/>
                <w14:textFill>
                  <w14:solidFill>
                    <w14:schemeClr w14:val="tx1"/>
                  </w14:solidFill>
                </w14:textFill>
              </w:rPr>
              <w:sym w:font="Wingdings" w:char="F0FE"/>
            </w:r>
            <w:r>
              <w:rPr>
                <w:rFonts w:hint="eastAsia" w:ascii="宋体" w:hAnsi="宋体"/>
                <w:color w:val="000000" w:themeColor="text1"/>
                <w:sz w:val="24"/>
                <w:szCs w:val="24"/>
                <w14:textFill>
                  <w14:solidFill>
                    <w14:schemeClr w14:val="tx1"/>
                  </w14:solidFill>
                </w14:textFill>
              </w:rPr>
              <w:t>委托人</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4.提交时限：合同签订前按规定提交履约保证金，若中标人在规定时限内未提交保证金的，招标人将书面通知中标人，</w:t>
            </w: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日内不能办理的，招标人将有权取消其中标资格。</w:t>
            </w:r>
          </w:p>
          <w:p>
            <w:pPr>
              <w:adjustRightInd w:val="0"/>
              <w:snapToGrid w:val="0"/>
              <w:spacing w:line="44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5.退还：</w:t>
            </w:r>
            <w:r>
              <w:rPr>
                <w:rFonts w:hint="eastAsia" w:ascii="宋体" w:hAnsi="宋体"/>
                <w:color w:val="000000" w:themeColor="text1"/>
                <w:sz w:val="24"/>
                <w:szCs w:val="24"/>
                <w:u w:val="single"/>
                <w14:textFill>
                  <w14:solidFill>
                    <w14:schemeClr w14:val="tx1"/>
                  </w14:solidFill>
                </w14:textFill>
              </w:rPr>
              <w:t>合同履行完成后30日内一次性无息退还。</w:t>
            </w:r>
            <w:r>
              <w:rPr>
                <w:rFonts w:hint="eastAsia"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u w:val="single"/>
                <w14:textFill>
                  <w14:solidFill>
                    <w14:schemeClr w14:val="tx1"/>
                  </w14:solidFill>
                </w14:textFill>
              </w:rPr>
              <w:t xml:space="preserve"> </w:t>
            </w:r>
          </w:p>
          <w:p>
            <w:pPr>
              <w:adjustRightInd w:val="0"/>
              <w:snapToGrid w:val="0"/>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6.如采用银行保函，银行保函由合肥本地银行或在合肥具有分支机构的银行出具的见索即付无条件保函。</w:t>
            </w:r>
          </w:p>
          <w:p>
            <w:pPr>
              <w:spacing w:line="44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7.如采用工程担保，工程担保由注册地在合肥市或在合肥具有分支机构的国有担保公司出具的无条件担保。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17</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业绩要求</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本招标文件中要求的业绩须为:</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52"/>
            </w:r>
            <w:r>
              <w:rPr>
                <w:rFonts w:hint="eastAsia" w:ascii="宋体" w:hAnsi="宋体"/>
                <w:b/>
                <w:bCs/>
                <w:color w:val="000000" w:themeColor="text1"/>
                <w:sz w:val="24"/>
                <w:szCs w:val="24"/>
                <w14:textFill>
                  <w14:solidFill>
                    <w14:schemeClr w14:val="tx1"/>
                  </w14:solidFill>
                </w14:textFill>
              </w:rPr>
              <w:t>已完成的业绩：投标文件中提供业绩合同扫描件。</w:t>
            </w:r>
          </w:p>
          <w:p>
            <w:pPr>
              <w:spacing w:line="500" w:lineRule="exact"/>
              <w:rPr>
                <w:rFonts w:ascii="宋体" w:hAnsi="宋体"/>
                <w:b/>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sym w:font="Wingdings 2" w:char="00A3"/>
            </w:r>
            <w:r>
              <w:rPr>
                <w:rFonts w:hint="eastAsia" w:ascii="宋体" w:hAnsi="宋体"/>
                <w:b/>
                <w:bCs/>
                <w:color w:val="000000" w:themeColor="text1"/>
                <w:sz w:val="24"/>
                <w:szCs w:val="24"/>
                <w14:textFill>
                  <w14:solidFill>
                    <w14:schemeClr w14:val="tx1"/>
                  </w14:solidFill>
                </w14:textFill>
              </w:rPr>
              <w:t>正在履约或已完成的业绩均可：投标文件中提供业绩合同扫描件。</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备注：已签订合同但尚未实施的业绩不予认可。即截至投标截止时间，项目如存在目前尚未开始履约、人员进场但尚未实质性开展、处于暂停等情况的，该业绩不予认可。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09" w:type="dxa"/>
            <w:vAlign w:val="center"/>
          </w:tcPr>
          <w:p>
            <w:pPr>
              <w:spacing w:line="500" w:lineRule="exact"/>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18</w:t>
            </w:r>
          </w:p>
        </w:tc>
        <w:tc>
          <w:tcPr>
            <w:tcW w:w="1559" w:type="dxa"/>
            <w:vAlign w:val="center"/>
          </w:tcPr>
          <w:p>
            <w:pPr>
              <w:spacing w:line="50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本地化服务</w:t>
            </w:r>
          </w:p>
        </w:tc>
        <w:tc>
          <w:tcPr>
            <w:tcW w:w="7077" w:type="dxa"/>
            <w:vAlign w:val="center"/>
          </w:tcPr>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本项目是否要求本地化服务能力：</w:t>
            </w:r>
            <w:r>
              <w:rPr>
                <w:rFonts w:hint="eastAsia" w:ascii="宋体" w:hAnsi="宋体"/>
                <w:b/>
                <w:color w:val="000000" w:themeColor="text1"/>
                <w:sz w:val="24"/>
                <w14:textFill>
                  <w14:solidFill>
                    <w14:schemeClr w14:val="tx1"/>
                  </w14:solidFill>
                </w14:textFill>
              </w:rPr>
              <w:sym w:font="Wingdings" w:char="F0FE"/>
            </w:r>
            <w:r>
              <w:rPr>
                <w:rFonts w:hint="eastAsia" w:ascii="宋体" w:hAnsi="宋体"/>
                <w:b/>
                <w:color w:val="000000" w:themeColor="text1"/>
                <w:sz w:val="24"/>
                <w14:textFill>
                  <w14:solidFill>
                    <w14:schemeClr w14:val="tx1"/>
                  </w14:solidFill>
                </w14:textFill>
              </w:rPr>
              <w:t>要求   □不要求</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本地化服务的能力是指具有下列条件之一：</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1.在本地具有固定的办公场所及人员；</w:t>
            </w:r>
          </w:p>
          <w:p>
            <w:pPr>
              <w:spacing w:line="5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2.投标人在本地注册成立或者本地有分支机构的；</w:t>
            </w:r>
          </w:p>
          <w:p>
            <w:pPr>
              <w:spacing w:line="500" w:lineRule="exact"/>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3.承诺中标即设立本地化服务机构。</w:t>
            </w:r>
          </w:p>
        </w:tc>
      </w:tr>
    </w:tbl>
    <w:p>
      <w:pPr>
        <w:rPr>
          <w:color w:val="000000" w:themeColor="text1"/>
          <w14:textFill>
            <w14:solidFill>
              <w14:schemeClr w14:val="tx1"/>
            </w14:solidFill>
          </w14:textFill>
        </w:rPr>
      </w:pPr>
      <w:bookmarkStart w:id="8" w:name="_Hlt509650027"/>
      <w:bookmarkEnd w:id="8"/>
      <w:bookmarkStart w:id="9" w:name="_Hlt519045778"/>
      <w:bookmarkEnd w:id="9"/>
      <w:bookmarkStart w:id="10" w:name="_Toc7187421"/>
      <w:bookmarkStart w:id="11" w:name="_Toc508363589"/>
      <w:bookmarkStart w:id="12" w:name="_Toc459990137"/>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
      </w:pPr>
    </w:p>
    <w:p>
      <w:pPr>
        <w:pStyle w:val="5"/>
        <w:spacing w:before="0" w:line="500" w:lineRule="exact"/>
        <w:jc w:val="center"/>
        <w:rPr>
          <w:rFonts w:ascii="宋体" w:hAnsi="宋体"/>
          <w:color w:val="000000" w:themeColor="text1"/>
          <w14:textFill>
            <w14:solidFill>
              <w14:schemeClr w14:val="tx1"/>
            </w14:solidFill>
          </w14:textFill>
        </w:rPr>
      </w:pPr>
      <w:bookmarkStart w:id="13" w:name="_Toc25871"/>
      <w:r>
        <w:rPr>
          <w:rFonts w:hint="eastAsia" w:ascii="宋体" w:hAnsi="宋体"/>
          <w:color w:val="000000" w:themeColor="text1"/>
          <w14:textFill>
            <w14:solidFill>
              <w14:schemeClr w14:val="tx1"/>
            </w14:solidFill>
          </w14:textFill>
        </w:rPr>
        <w:t>第三章 投标人须知</w:t>
      </w:r>
      <w:bookmarkEnd w:id="10"/>
      <w:bookmarkEnd w:id="13"/>
      <w:bookmarkStart w:id="14" w:name="_Toc459990138"/>
    </w:p>
    <w:bookmarkEnd w:id="11"/>
    <w:bookmarkEnd w:id="12"/>
    <w:bookmarkEnd w:id="14"/>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15" w:name="_Hlt516969057"/>
      <w:bookmarkEnd w:id="15"/>
      <w:bookmarkStart w:id="16" w:name="_Hlt509650351"/>
      <w:bookmarkEnd w:id="16"/>
      <w:bookmarkStart w:id="17" w:name="_Hlt204508754"/>
      <w:bookmarkEnd w:id="17"/>
      <w:bookmarkStart w:id="18" w:name="_Toc23746"/>
      <w:bookmarkStart w:id="19" w:name="_Toc51505239"/>
      <w:bookmarkStart w:id="20" w:name="_Toc22888330"/>
      <w:bookmarkStart w:id="21" w:name="_Toc27068"/>
      <w:bookmarkStart w:id="22" w:name="_Toc25480"/>
      <w:bookmarkStart w:id="23" w:name="_Toc19733"/>
      <w:bookmarkStart w:id="24" w:name="_Toc508363595"/>
      <w:r>
        <w:rPr>
          <w:rFonts w:hint="eastAsia" w:ascii="宋体" w:hAnsi="宋体"/>
          <w:b/>
          <w:bCs/>
          <w:color w:val="000000" w:themeColor="text1"/>
          <w:sz w:val="28"/>
          <w:szCs w:val="32"/>
          <w14:textFill>
            <w14:solidFill>
              <w14:schemeClr w14:val="tx1"/>
            </w14:solidFill>
          </w14:textFill>
        </w:rPr>
        <w:t>一．投标文件的编制</w:t>
      </w:r>
      <w:bookmarkEnd w:id="18"/>
      <w:bookmarkEnd w:id="19"/>
      <w:bookmarkEnd w:id="20"/>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1.投标文件的编写要求</w:t>
      </w:r>
    </w:p>
    <w:p>
      <w:pPr>
        <w:spacing w:line="360" w:lineRule="auto"/>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1.1投标人须以招标人正式发布的《招标文件》为制作《投标文件》的依据；</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w:t>
      </w:r>
      <w:r>
        <w:rPr>
          <w:rFonts w:hint="eastAsia" w:ascii="宋体" w:hAnsi="宋体"/>
          <w:color w:val="000000" w:themeColor="text1"/>
          <w:kern w:val="0"/>
          <w:sz w:val="24"/>
          <w14:textFill>
            <w14:solidFill>
              <w14:schemeClr w14:val="tx1"/>
            </w14:solidFill>
          </w14:textFill>
        </w:rPr>
        <w:t>投标人应仔细阅读招标文件的所有内容，按招标文件的要求提供投标文件，并保证所提供的全部资料真实有效；</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1.3</w:t>
      </w:r>
      <w:r>
        <w:rPr>
          <w:rFonts w:hint="eastAsia" w:ascii="宋体" w:hAnsi="宋体"/>
          <w:color w:val="000000" w:themeColor="text1"/>
          <w:kern w:val="0"/>
          <w:sz w:val="24"/>
          <w14:textFill>
            <w14:solidFill>
              <w14:schemeClr w14:val="tx1"/>
            </w14:solidFill>
          </w14:textFill>
        </w:rPr>
        <w:t>投标文件的书面内容不得涂抹或改写；</w:t>
      </w:r>
    </w:p>
    <w:p>
      <w:pPr>
        <w:spacing w:line="360" w:lineRule="auto"/>
        <w:ind w:firstLine="480" w:firstLineChars="200"/>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1.4满足本招标文件规定的其它要求。</w:t>
      </w:r>
    </w:p>
    <w:p>
      <w:pPr>
        <w:spacing w:line="360" w:lineRule="auto"/>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2.投标文件由以下部分构成</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2.1</w:t>
      </w:r>
      <w:r>
        <w:rPr>
          <w:rFonts w:hint="eastAsia" w:ascii="宋体" w:hAnsi="宋体"/>
          <w:color w:val="000000" w:themeColor="text1"/>
          <w:kern w:val="0"/>
          <w:sz w:val="24"/>
          <w14:textFill>
            <w14:solidFill>
              <w14:schemeClr w14:val="tx1"/>
            </w14:solidFill>
          </w14:textFill>
        </w:rPr>
        <w:t>投标承诺书、开标一览表、分项报价表、投标事项承诺原件等；</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w:t>
      </w:r>
      <w:r>
        <w:rPr>
          <w:rFonts w:hint="eastAsia" w:ascii="宋体" w:hAnsi="宋体"/>
          <w:color w:val="000000" w:themeColor="text1"/>
          <w:kern w:val="0"/>
          <w:sz w:val="24"/>
          <w14:textFill>
            <w14:solidFill>
              <w14:schemeClr w14:val="tx1"/>
            </w14:solidFill>
          </w14:textFill>
        </w:rPr>
        <w:t>投标人资质证明文件复印件、法人和授权代表人身份证复印件；</w:t>
      </w:r>
    </w:p>
    <w:p>
      <w:pPr>
        <w:spacing w:line="480" w:lineRule="exact"/>
        <w:ind w:firstLine="480" w:firstLineChars="200"/>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2.3投标人</w:t>
      </w:r>
      <w:r>
        <w:rPr>
          <w:rFonts w:hint="eastAsia" w:ascii="宋体" w:hAnsi="宋体"/>
          <w:color w:val="000000" w:themeColor="text1"/>
          <w:kern w:val="0"/>
          <w:sz w:val="24"/>
          <w14:textFill>
            <w14:solidFill>
              <w14:schemeClr w14:val="tx1"/>
            </w14:solidFill>
          </w14:textFill>
        </w:rPr>
        <w:t>同类项目合同及投标人其它说明文件等；</w:t>
      </w:r>
    </w:p>
    <w:p>
      <w:pPr>
        <w:spacing w:line="480" w:lineRule="exact"/>
        <w:ind w:firstLine="482" w:firstLineChars="200"/>
        <w:rPr>
          <w:rFonts w:ascii="宋体" w:hAnsi="宋体"/>
          <w:b/>
          <w:color w:val="000000" w:themeColor="text1"/>
          <w:kern w:val="0"/>
          <w:sz w:val="24"/>
          <w14:textFill>
            <w14:solidFill>
              <w14:schemeClr w14:val="tx1"/>
            </w14:solidFill>
          </w14:textFill>
        </w:rPr>
      </w:pPr>
      <w:r>
        <w:rPr>
          <w:rFonts w:hint="eastAsia" w:ascii="宋体" w:hAnsi="宋体"/>
          <w:b/>
          <w:color w:val="000000" w:themeColor="text1"/>
          <w:kern w:val="0"/>
          <w:sz w:val="24"/>
          <w14:textFill>
            <w14:solidFill>
              <w14:schemeClr w14:val="tx1"/>
            </w14:solidFill>
          </w14:textFill>
        </w:rPr>
        <w:t>3.投标报价说明及依据</w:t>
      </w:r>
    </w:p>
    <w:p>
      <w:pPr>
        <w:spacing w:line="480" w:lineRule="exact"/>
        <w:ind w:firstLine="480" w:firstLineChars="200"/>
        <w:rPr>
          <w:rFonts w:ascii="宋体" w:hAnsi="宋体"/>
          <w:b/>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3.1招标内容、采购清单及有关文件等；</w:t>
      </w:r>
    </w:p>
    <w:p>
      <w:pPr>
        <w:widowControl/>
        <w:spacing w:line="480" w:lineRule="exact"/>
        <w:ind w:firstLine="480"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3.2国家、行业、地方有关技术标准规范；</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3.3投标方需按照《投标分项报价表》格式做报价清单，所有价格均为到达项目所在工地含税（增值税专用发票）报价。</w:t>
      </w:r>
    </w:p>
    <w:p>
      <w:pPr>
        <w:widowControl/>
        <w:spacing w:line="480" w:lineRule="exact"/>
        <w:ind w:firstLine="465"/>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4.投标人接到招标文件后,认真审阅和全面理解招标文件中所有的须知、条件、格式、条款和图纸，如果投标人的投标文件不符合招标文件要求，该投标文件将被拒绝，责任自负。</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25" w:name="_Toc459990139"/>
      <w:bookmarkStart w:id="26" w:name="_Toc22888332"/>
      <w:bookmarkStart w:id="27" w:name="_Toc7187423"/>
      <w:bookmarkStart w:id="28" w:name="_Toc51505241"/>
      <w:bookmarkStart w:id="29" w:name="_Toc19773336"/>
      <w:bookmarkStart w:id="30" w:name="_Toc31055"/>
      <w:r>
        <w:rPr>
          <w:rFonts w:hint="eastAsia" w:ascii="宋体" w:hAnsi="宋体"/>
          <w:b/>
          <w:bCs/>
          <w:color w:val="000000" w:themeColor="text1"/>
          <w:sz w:val="28"/>
          <w:szCs w:val="32"/>
          <w:lang w:val="en-US" w:eastAsia="zh-CN"/>
          <w14:textFill>
            <w14:solidFill>
              <w14:schemeClr w14:val="tx1"/>
            </w14:solidFill>
          </w14:textFill>
        </w:rPr>
        <w:t>二</w:t>
      </w:r>
      <w:r>
        <w:rPr>
          <w:rFonts w:hint="eastAsia" w:ascii="宋体" w:hAnsi="宋体"/>
          <w:b/>
          <w:bCs/>
          <w:color w:val="000000" w:themeColor="text1"/>
          <w:sz w:val="28"/>
          <w:szCs w:val="32"/>
          <w14:textFill>
            <w14:solidFill>
              <w14:schemeClr w14:val="tx1"/>
            </w14:solidFill>
          </w14:textFill>
        </w:rPr>
        <w:t>．投标文件的递交</w:t>
      </w:r>
      <w:bookmarkEnd w:id="25"/>
      <w:bookmarkEnd w:id="26"/>
      <w:bookmarkEnd w:id="27"/>
      <w:bookmarkEnd w:id="28"/>
      <w:bookmarkEnd w:id="29"/>
      <w:bookmarkEnd w:id="30"/>
      <w:bookmarkStart w:id="31" w:name="_Hlt509649414"/>
      <w:bookmarkEnd w:id="31"/>
    </w:p>
    <w:p>
      <w:pPr>
        <w:widowControl/>
        <w:spacing w:line="360" w:lineRule="auto"/>
        <w:rPr>
          <w:rFonts w:ascii="宋体" w:hAnsi="宋体" w:cs="宋体"/>
          <w:b/>
          <w:color w:val="000000" w:themeColor="text1"/>
          <w:kern w:val="0"/>
          <w:sz w:val="24"/>
          <w14:textFill>
            <w14:solidFill>
              <w14:schemeClr w14:val="tx1"/>
            </w14:solidFill>
          </w14:textFill>
        </w:rPr>
      </w:pPr>
      <w:bookmarkStart w:id="32" w:name="_Toc459990140"/>
      <w:bookmarkStart w:id="33" w:name="_Toc459990141"/>
      <w:bookmarkStart w:id="34" w:name="_Toc516969091"/>
      <w:r>
        <w:rPr>
          <w:rFonts w:hint="eastAsia" w:ascii="宋体" w:hAnsi="宋体" w:cs="宋体"/>
          <w:b/>
          <w:color w:val="000000" w:themeColor="text1"/>
          <w:kern w:val="0"/>
          <w:sz w:val="24"/>
          <w14:textFill>
            <w14:solidFill>
              <w14:schemeClr w14:val="tx1"/>
            </w14:solidFill>
          </w14:textFill>
        </w:rPr>
        <w:t xml:space="preserve">    1、投标文件的密封和标记</w:t>
      </w:r>
    </w:p>
    <w:p>
      <w:pPr>
        <w:widowControl/>
        <w:spacing w:line="360" w:lineRule="auto"/>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1.1投标文件装订成册、密封，并在封面注明招标编号、投标项目等，同时在密封处加盖骑缝章；</w:t>
      </w:r>
    </w:p>
    <w:p>
      <w:pPr>
        <w:widowControl/>
        <w:spacing w:line="360" w:lineRule="auto"/>
        <w:jc w:val="left"/>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1.2投标文件要求：</w:t>
      </w:r>
      <w:r>
        <w:rPr>
          <w:rFonts w:hint="eastAsia" w:ascii="宋体" w:hAnsi="宋体" w:cs="宋体"/>
          <w:bCs/>
          <w:color w:val="000000" w:themeColor="text1"/>
          <w:kern w:val="0"/>
          <w:sz w:val="24"/>
          <w14:textFill>
            <w14:solidFill>
              <w14:schemeClr w14:val="tx1"/>
            </w14:solidFill>
          </w14:textFill>
        </w:rPr>
        <w:t>正、副本各一份。</w:t>
      </w:r>
    </w:p>
    <w:p>
      <w:pPr>
        <w:widowControl/>
        <w:spacing w:line="360" w:lineRule="auto"/>
        <w:jc w:val="left"/>
        <w:rPr>
          <w:rFonts w:ascii="宋体" w:hAnsi="宋体"/>
          <w:b/>
          <w:bCs/>
          <w:color w:val="000000" w:themeColor="text1"/>
          <w:kern w:val="0"/>
          <w:sz w:val="24"/>
          <w14:textFill>
            <w14:solidFill>
              <w14:schemeClr w14:val="tx1"/>
            </w14:solidFill>
          </w14:textFill>
        </w:rPr>
      </w:pPr>
      <w:r>
        <w:rPr>
          <w:rFonts w:hint="eastAsia" w:ascii="宋体" w:hAnsi="宋体"/>
          <w:b/>
          <w:bCs/>
          <w:color w:val="000000" w:themeColor="text1"/>
          <w:kern w:val="0"/>
          <w:sz w:val="24"/>
          <w14:textFill>
            <w14:solidFill>
              <w14:schemeClr w14:val="tx1"/>
            </w14:solidFill>
          </w14:textFill>
        </w:rPr>
        <w:t xml:space="preserve">    2、投标文件的递交、修改和撤回</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2.1</w:t>
      </w:r>
      <w:r>
        <w:rPr>
          <w:rFonts w:hint="eastAsia" w:ascii="宋体" w:hAnsi="宋体"/>
          <w:color w:val="000000" w:themeColor="text1"/>
          <w:kern w:val="0"/>
          <w:sz w:val="24"/>
          <w14:textFill>
            <w14:solidFill>
              <w14:schemeClr w14:val="tx1"/>
            </w14:solidFill>
          </w14:textFill>
        </w:rPr>
        <w:t>投标人应在投标截止时间前将密封合格的投标文件送达开标现场；</w:t>
      </w:r>
    </w:p>
    <w:p>
      <w:pPr>
        <w:spacing w:line="360" w:lineRule="auto"/>
        <w:rPr>
          <w:rFonts w:ascii="宋体" w:hAnsi="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    2.2</w:t>
      </w:r>
      <w:r>
        <w:rPr>
          <w:rFonts w:hint="eastAsia" w:ascii="宋体" w:hAnsi="宋体"/>
          <w:color w:val="000000" w:themeColor="text1"/>
          <w:kern w:val="0"/>
          <w:sz w:val="24"/>
          <w14:textFill>
            <w14:solidFill>
              <w14:schemeClr w14:val="tx1"/>
            </w14:solidFill>
          </w14:textFill>
        </w:rPr>
        <w:t>投标人递交投标文件后，可修改或撤回投标文件，但必须在投标截止时间前书面通知招标人；投标截止后不得修改或撤回投标文件。</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35" w:name="_Toc19773337"/>
      <w:bookmarkStart w:id="36" w:name="_Toc7187424"/>
      <w:bookmarkStart w:id="37" w:name="_Toc51505242"/>
      <w:bookmarkStart w:id="38" w:name="_Toc9817"/>
      <w:bookmarkStart w:id="39" w:name="_Toc22888333"/>
      <w:r>
        <w:rPr>
          <w:rFonts w:hint="eastAsia" w:ascii="宋体" w:hAnsi="宋体"/>
          <w:b/>
          <w:bCs/>
          <w:color w:val="000000" w:themeColor="text1"/>
          <w:sz w:val="28"/>
          <w:szCs w:val="32"/>
          <w:lang w:val="en-US" w:eastAsia="zh-CN"/>
          <w14:textFill>
            <w14:solidFill>
              <w14:schemeClr w14:val="tx1"/>
            </w14:solidFill>
          </w14:textFill>
        </w:rPr>
        <w:t>三</w:t>
      </w:r>
      <w:r>
        <w:rPr>
          <w:rFonts w:hint="eastAsia" w:ascii="宋体" w:hAnsi="宋体"/>
          <w:b/>
          <w:bCs/>
          <w:color w:val="000000" w:themeColor="text1"/>
          <w:sz w:val="28"/>
          <w:szCs w:val="32"/>
          <w14:textFill>
            <w14:solidFill>
              <w14:schemeClr w14:val="tx1"/>
            </w14:solidFill>
          </w14:textFill>
        </w:rPr>
        <w:t>．</w:t>
      </w:r>
      <w:bookmarkEnd w:id="32"/>
      <w:r>
        <w:rPr>
          <w:rFonts w:hint="eastAsia" w:ascii="宋体" w:hAnsi="宋体"/>
          <w:b/>
          <w:bCs/>
          <w:color w:val="000000" w:themeColor="text1"/>
          <w:sz w:val="28"/>
          <w:szCs w:val="32"/>
          <w14:textFill>
            <w14:solidFill>
              <w14:schemeClr w14:val="tx1"/>
            </w14:solidFill>
          </w14:textFill>
        </w:rPr>
        <w:t>开标、评标及定标</w:t>
      </w:r>
      <w:bookmarkEnd w:id="35"/>
      <w:bookmarkEnd w:id="36"/>
      <w:bookmarkEnd w:id="37"/>
      <w:bookmarkEnd w:id="38"/>
      <w:bookmarkEnd w:id="39"/>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 xml:space="preserve"> 1.开标</w:t>
      </w:r>
    </w:p>
    <w:p>
      <w:pPr>
        <w:spacing w:line="360" w:lineRule="auto"/>
        <w:ind w:firstLine="55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将在招标公告（如有变更，以变更公告为准）规定的时间和地点组织公开开标。</w:t>
      </w:r>
    </w:p>
    <w:p>
      <w:pPr>
        <w:widowControl/>
        <w:spacing w:line="360" w:lineRule="auto"/>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lang w:eastAsia="zh-CN"/>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2</w:t>
      </w:r>
      <w:r>
        <w:rPr>
          <w:rFonts w:hint="eastAsia" w:ascii="宋体" w:hAnsi="宋体"/>
          <w:bCs/>
          <w:color w:val="000000" w:themeColor="text1"/>
          <w:sz w:val="24"/>
          <w:szCs w:val="24"/>
          <w14:textFill>
            <w14:solidFill>
              <w14:schemeClr w14:val="tx1"/>
            </w14:solidFill>
          </w14:textFill>
        </w:rPr>
        <w:t>开标时</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查验投标文件的密封状况，确认无误后拆封唱标。</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szCs w:val="24"/>
          <w14:textFill>
            <w14:solidFill>
              <w14:schemeClr w14:val="tx1"/>
            </w14:solidFill>
          </w14:textFill>
        </w:rPr>
        <w:t>将当众宣读</w:t>
      </w:r>
      <w:r>
        <w:rPr>
          <w:rFonts w:hint="eastAsia" w:ascii="宋体" w:hAnsi="宋体"/>
          <w:color w:val="000000" w:themeColor="text1"/>
          <w:sz w:val="24"/>
          <w:szCs w:val="24"/>
          <w14:textFill>
            <w14:solidFill>
              <w14:schemeClr w14:val="tx1"/>
            </w14:solidFill>
          </w14:textFill>
        </w:rPr>
        <w:t>投标人名称、投标价格以及</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szCs w:val="24"/>
          <w14:textFill>
            <w14:solidFill>
              <w14:schemeClr w14:val="tx1"/>
            </w14:solidFill>
          </w14:textFill>
        </w:rPr>
        <w:t>认为合适的其它详细内容。</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2</w:t>
      </w:r>
      <w:r>
        <w:rPr>
          <w:rFonts w:hint="eastAsia" w:ascii="宋体" w:hAnsi="宋体"/>
          <w:b/>
          <w:color w:val="000000" w:themeColor="text1"/>
          <w:sz w:val="24"/>
          <w:szCs w:val="24"/>
          <w14:textFill>
            <w14:solidFill>
              <w14:schemeClr w14:val="tx1"/>
            </w14:solidFill>
          </w14:textFill>
        </w:rPr>
        <w:t>.投标文件的澄清、说明或补正</w:t>
      </w:r>
    </w:p>
    <w:p>
      <w:pPr>
        <w:spacing w:line="360" w:lineRule="auto"/>
        <w:ind w:firstLine="549"/>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为有助于投标的审查、评价和比较，评标委员会可以书面方式要求投标人对投标文件中含义不明确、对同类问题表述不一致或者有明显文字和计算错误的内容作必要的澄清、说明或补正。澄清、说明或补正应以书面方式进行并不得超出投标文件的范围或改变投标文件的实质性内容。</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.2投标文件中大写金额和小写金额不一致的，以大写金额为准；总价金额与按单价汇总金额不一致的，以单价金额计算结果为准；单价金额小数点有明显错位的，应以总价为准，并修改单价。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.3开标一览表内容与投标文件中明细表内容不一致的，以开标一览表为准。</w:t>
      </w:r>
      <w:r>
        <w:rPr>
          <w:rFonts w:hint="eastAsia" w:ascii="宋体" w:hAnsi="宋体"/>
          <w:bCs/>
          <w:color w:val="000000" w:themeColor="text1"/>
          <w:sz w:val="24"/>
          <w:szCs w:val="24"/>
          <w14:textFill>
            <w14:solidFill>
              <w14:schemeClr w14:val="tx1"/>
            </w14:solidFill>
          </w14:textFill>
        </w:rPr>
        <w:t>开标一览表内容与唱标信息内容不一致的，以开标一览表为准。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 开标一览表中投标总价与投标文件中各分项报价汇总金额不一致的，按以下方式处理：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.4.1 项目以投标总价结算的，以开标一览表中投标总价为准；</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.4.2项目以分项报价为准据实结算的，投标无效。</w:t>
      </w:r>
    </w:p>
    <w:p>
      <w:pPr>
        <w:spacing w:line="360" w:lineRule="auto"/>
        <w:ind w:firstLine="549"/>
        <w:rPr>
          <w:rFonts w:ascii="宋体" w:hAnsi="宋体"/>
          <w:b/>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hint="eastAsia" w:ascii="宋体" w:hAnsi="宋体"/>
          <w:b/>
          <w:color w:val="000000" w:themeColor="text1"/>
          <w:sz w:val="24"/>
          <w:szCs w:val="24"/>
          <w14:textFill>
            <w14:solidFill>
              <w14:schemeClr w14:val="tx1"/>
            </w14:solidFill>
          </w14:textFill>
        </w:rPr>
        <w:t>评标</w:t>
      </w:r>
    </w:p>
    <w:p>
      <w:pPr>
        <w:widowControl/>
        <w:spacing w:line="360" w:lineRule="auto"/>
        <w:ind w:firstLine="482" w:firstLineChars="20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3.1评标原则：</w:t>
      </w:r>
      <w:r>
        <w:rPr>
          <w:rFonts w:hint="eastAsia" w:ascii="宋体" w:hAnsi="宋体" w:cs="宋体"/>
          <w:color w:val="000000" w:themeColor="text1"/>
          <w:kern w:val="0"/>
          <w:sz w:val="24"/>
          <w14:textFill>
            <w14:solidFill>
              <w14:schemeClr w14:val="tx1"/>
            </w14:solidFill>
          </w14:textFill>
        </w:rPr>
        <w:t>遵循国家有关法律、法规，客观、公正地对待所有投标人，以招标文件作为评标的基本依据；凡涉及审查、评估和比较投标文件以及定标等意见，均不得向投标人及与评标无关的人员透露；</w:t>
      </w:r>
    </w:p>
    <w:p>
      <w:pPr>
        <w:adjustRightInd w:val="0"/>
        <w:snapToGrid w:val="0"/>
        <w:spacing w:line="360" w:lineRule="auto"/>
        <w:ind w:right="-10" w:firstLine="422" w:firstLineChars="175"/>
        <w:rPr>
          <w:rFonts w:ascii="宋体" w:hAnsi="宋体"/>
          <w:color w:val="000000" w:themeColor="text1"/>
          <w:sz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2评标方法：</w:t>
      </w:r>
      <w:r>
        <w:rPr>
          <w:rFonts w:hint="eastAsia" w:ascii="宋体" w:hAnsi="宋体"/>
          <w:color w:val="000000" w:themeColor="text1"/>
          <w:sz w:val="24"/>
          <w14:textFill>
            <w14:solidFill>
              <w14:schemeClr w14:val="tx1"/>
            </w14:solidFill>
          </w14:textFill>
        </w:rPr>
        <w:t>本次评标采用有效最低价法，即资格审查、商务标、技术标均经评审通过的有效投标报价最低的投标人为中标候选人。</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3.3如符合专业条件的投标人或对招标文件作实质响应的投标人只有两家，评标委员会将视情况现场决定是否改为竞争性谈判。谈判并不限定只进行二轮报价，如果评标委员会认为有必要，可以要求投标人进行多轮报价。在谈判内容不做实质性变更及重大调整的前提下，投标人下轮报价不得高于上一轮报价。</w:t>
      </w:r>
    </w:p>
    <w:p>
      <w:pPr>
        <w:spacing w:line="360" w:lineRule="auto"/>
        <w:ind w:firstLine="523" w:firstLineChars="218"/>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3.4 评标委员会将按照招标文件规定的评标办法对投标人独立进行评审。</w:t>
      </w:r>
    </w:p>
    <w:p>
      <w:pPr>
        <w:spacing w:line="360" w:lineRule="auto"/>
        <w:ind w:firstLine="549"/>
        <w:rPr>
          <w:rFonts w:ascii="宋体" w:hAnsi="宋体" w:cs="Tahoma"/>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3.5</w:t>
      </w:r>
      <w:r>
        <w:rPr>
          <w:rFonts w:hint="eastAsia" w:ascii="宋体" w:hAnsi="宋体" w:cs="Tahoma"/>
          <w:color w:val="000000" w:themeColor="text1"/>
          <w:sz w:val="24"/>
          <w:szCs w:val="24"/>
          <w14:textFill>
            <w14:solidFill>
              <w14:schemeClr w14:val="tx1"/>
            </w14:solidFill>
          </w14:textFill>
        </w:rPr>
        <w:t>评审过程中，如有询标，投标人授权代表（或法定代表人）应携带本人有效身份证明（包括居民身份证、社保卡、军官证、驾驶证或护照）原件参加询标并签字，因投标人授权代表未到开标现场或联系不上等情形而无法接受评标委员会询标的，有关风险投标人自行承担。</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评标委员会将首先审查投标文件是否实质上响应招标文件的初审指标要求。实质上响应的投标应与招标文件的全部条款、条件和规格相符，没有重大偏离或保留。所谓重大偏离或保留是指影响合同的服务范围和质量等；或者在实质上与招标文件不一致，而且限制了合同中买方的权利或投标人的义务。这些偏离或保留将会对其他实质上响应要求的投标人的竞争地位产生不公正的影响。投标人不得通过修改或撤销不合要求的偏离或保留而使其投标成为响应性的投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有下列情形之一的，评标委员会应当否决其投标</w:t>
      </w:r>
      <w:r>
        <w:rPr>
          <w:rFonts w:hint="eastAsia" w:ascii="宋体" w:hAnsi="宋体"/>
          <w:color w:val="000000" w:themeColor="text1"/>
          <w:sz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3.6.1</w:t>
      </w:r>
      <w:r>
        <w:rPr>
          <w:rFonts w:ascii="宋体" w:hAnsi="宋体"/>
          <w:color w:val="000000" w:themeColor="text1"/>
          <w:sz w:val="24"/>
          <w:szCs w:val="24"/>
          <w14:textFill>
            <w14:solidFill>
              <w14:schemeClr w14:val="tx1"/>
            </w14:solidFill>
          </w14:textFill>
        </w:rPr>
        <w:t>投标文件未经投标人盖章和单位负责人签字</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3.6.2</w:t>
      </w:r>
      <w:r>
        <w:rPr>
          <w:rFonts w:ascii="宋体" w:hAnsi="宋体"/>
          <w:color w:val="000000" w:themeColor="text1"/>
          <w:sz w:val="24"/>
          <w:szCs w:val="24"/>
          <w14:textFill>
            <w14:solidFill>
              <w14:schemeClr w14:val="tx1"/>
            </w14:solidFill>
          </w14:textFill>
        </w:rPr>
        <w:t>投标联合体没有提交</w:t>
      </w:r>
      <w:r>
        <w:rPr>
          <w:rFonts w:hint="eastAsia" w:ascii="宋体" w:hAnsi="宋体"/>
          <w:color w:val="000000" w:themeColor="text1"/>
          <w:sz w:val="24"/>
          <w:szCs w:val="24"/>
          <w14:textFill>
            <w14:solidFill>
              <w14:schemeClr w14:val="tx1"/>
            </w14:solidFill>
          </w14:textFill>
        </w:rPr>
        <w:t>共同投标</w:t>
      </w:r>
      <w:r>
        <w:rPr>
          <w:rFonts w:ascii="宋体" w:hAnsi="宋体"/>
          <w:color w:val="000000" w:themeColor="text1"/>
          <w:sz w:val="24"/>
          <w:szCs w:val="24"/>
          <w14:textFill>
            <w14:solidFill>
              <w14:schemeClr w14:val="tx1"/>
            </w14:solidFill>
          </w14:textFill>
        </w:rPr>
        <w:t>协议；</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3.6.3投标人不符合国家或者招标文件规定的资格条件；</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3.6.4同一投标人提交两个以上不同的投标文件或者投标报价，但招标文件要求提交备选投标的除外；</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3.6.5</w:t>
      </w:r>
      <w:r>
        <w:rPr>
          <w:rFonts w:ascii="宋体" w:hAnsi="宋体"/>
          <w:color w:val="000000" w:themeColor="text1"/>
          <w:sz w:val="24"/>
          <w:szCs w:val="24"/>
          <w14:textFill>
            <w14:solidFill>
              <w14:schemeClr w14:val="tx1"/>
            </w14:solidFill>
          </w14:textFill>
        </w:rPr>
        <w:t>投标报价低于成本或者高于招标文件设定的最高投标限价；</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3.6.6</w:t>
      </w:r>
      <w:r>
        <w:rPr>
          <w:rFonts w:ascii="宋体" w:hAnsi="宋体"/>
          <w:color w:val="000000" w:themeColor="text1"/>
          <w:sz w:val="24"/>
          <w:szCs w:val="24"/>
          <w14:textFill>
            <w14:solidFill>
              <w14:schemeClr w14:val="tx1"/>
            </w14:solidFill>
          </w14:textFill>
        </w:rPr>
        <w:t>投标文件没有对招标文件的实质性要求和条件作出响应；</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3.6.7</w:t>
      </w:r>
      <w:r>
        <w:rPr>
          <w:rFonts w:ascii="宋体" w:hAnsi="宋体"/>
          <w:color w:val="000000" w:themeColor="text1"/>
          <w:sz w:val="24"/>
          <w:szCs w:val="24"/>
          <w14:textFill>
            <w14:solidFill>
              <w14:schemeClr w14:val="tx1"/>
            </w14:solidFill>
          </w14:textFill>
        </w:rPr>
        <w:t>投标人有串通投标、弄虚作假、行贿等违法行为</w:t>
      </w:r>
      <w:r>
        <w:rPr>
          <w:rFonts w:hint="eastAsia" w:ascii="宋体" w:hAnsi="宋体"/>
          <w:color w:val="000000" w:themeColor="text1"/>
          <w:sz w:val="24"/>
          <w:szCs w:val="24"/>
          <w14:textFill>
            <w14:solidFill>
              <w14:schemeClr w14:val="tx1"/>
            </w14:solidFill>
          </w14:textFill>
        </w:rPr>
        <w:t>；</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3.6.8评标委员会评议认为构成废标的其他情况；</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3.6.9投标人未按要求提交投标保证金的；</w:t>
      </w:r>
    </w:p>
    <w:p>
      <w:pPr>
        <w:spacing w:line="360" w:lineRule="auto"/>
        <w:ind w:firstLine="549"/>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3.6.10</w:t>
      </w:r>
      <w:r>
        <w:rPr>
          <w:rFonts w:hint="eastAsia" w:ascii="宋体" w:hAnsi="宋体"/>
          <w:color w:val="000000" w:themeColor="text1"/>
          <w:sz w:val="24"/>
          <w:szCs w:val="24"/>
          <w14:textFill>
            <w14:solidFill>
              <w14:schemeClr w14:val="tx1"/>
            </w14:solidFill>
          </w14:textFill>
        </w:rPr>
        <w:t>其他未实质性响应招标文件要求的。</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3.7评审时，评标委员会将审查投标文件是否符合招标文件的评审指标要求。</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3.8</w:t>
      </w:r>
      <w:r>
        <w:rPr>
          <w:rFonts w:hint="eastAsia" w:ascii="宋体" w:hAnsi="宋体"/>
          <w:color w:val="000000" w:themeColor="text1"/>
          <w:sz w:val="24"/>
          <w14:textFill>
            <w14:solidFill>
              <w14:schemeClr w14:val="tx1"/>
            </w14:solidFill>
          </w14:textFill>
        </w:rPr>
        <w:t>如果投标文件未通过投标有效性评审，投标无效。</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3.9评标委员会决定投标文件的响应性及符合性只根据投标文件本身的内容，而不寻求其他外部证据。</w:t>
      </w:r>
    </w:p>
    <w:p>
      <w:pPr>
        <w:spacing w:line="360" w:lineRule="auto"/>
        <w:ind w:firstLine="54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4.定标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1评标委员会应当按招标文件规定的标准和方法提出独立评审意见，推荐中标候选人。</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2如评标委员会认为有必要，将首先对第一中标候选人就投标文件所提供的内容是否符合招标文件的要求进行资格后审。资格后审视为本项目招标活动的延续，以书面报告作为最终审查的结果。如果确定第一中标候选人无法履行合同，将按排名依次对其余中标候选人进行类似的审查。</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第一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pPr>
        <w:spacing w:line="360" w:lineRule="auto"/>
        <w:ind w:firstLine="549"/>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4.3原则上把合同授予实质上响应招标文件要求的排名最前的中标候选人或通过上条资格审查的中标候选人。 </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5.招标人一律不予退还投标人的投标文件。</w:t>
      </w:r>
    </w:p>
    <w:p>
      <w:pPr>
        <w:spacing w:line="360" w:lineRule="auto"/>
        <w:ind w:firstLine="525" w:firstLineChars="218"/>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本招标文件所要求的证书、认证、资质，均应当是有权机构颁发，且在有效期内的。</w:t>
      </w:r>
    </w:p>
    <w:p>
      <w:pPr>
        <w:spacing w:line="360" w:lineRule="auto"/>
        <w:ind w:firstLine="562" w:firstLineChars="200"/>
        <w:jc w:val="center"/>
        <w:rPr>
          <w:rFonts w:ascii="宋体" w:hAnsi="宋体"/>
          <w:b/>
          <w:bCs/>
          <w:color w:val="000000" w:themeColor="text1"/>
          <w:sz w:val="28"/>
          <w:szCs w:val="32"/>
          <w14:textFill>
            <w14:solidFill>
              <w14:schemeClr w14:val="tx1"/>
            </w14:solidFill>
          </w14:textFill>
        </w:rPr>
      </w:pPr>
      <w:r>
        <w:rPr>
          <w:rFonts w:hint="eastAsia" w:ascii="宋体" w:hAnsi="宋体"/>
          <w:b/>
          <w:bCs/>
          <w:color w:val="000000" w:themeColor="text1"/>
          <w:sz w:val="28"/>
          <w:szCs w:val="32"/>
          <w:lang w:val="en-US" w:eastAsia="zh-CN"/>
          <w14:textFill>
            <w14:solidFill>
              <w14:schemeClr w14:val="tx1"/>
            </w14:solidFill>
          </w14:textFill>
        </w:rPr>
        <w:t>四</w:t>
      </w:r>
      <w:r>
        <w:rPr>
          <w:rFonts w:hint="eastAsia" w:ascii="宋体" w:hAnsi="宋体"/>
          <w:b/>
          <w:bCs/>
          <w:color w:val="000000" w:themeColor="text1"/>
          <w:sz w:val="28"/>
          <w:szCs w:val="32"/>
          <w14:textFill>
            <w14:solidFill>
              <w14:schemeClr w14:val="tx1"/>
            </w14:solidFill>
          </w14:textFill>
        </w:rPr>
        <w:t>. 投标信息发布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1.与本次招标活动相关的信息，将在</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(http://www.hftycy.com/)发布。</w:t>
      </w:r>
    </w:p>
    <w:p>
      <w:pPr>
        <w:spacing w:line="360" w:lineRule="auto"/>
        <w:ind w:firstLine="55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2. </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olor w:val="000000" w:themeColor="text1"/>
          <w:sz w:val="24"/>
          <w14:textFill>
            <w14:solidFill>
              <w14:schemeClr w14:val="tx1"/>
            </w14:solidFill>
          </w14:textFill>
        </w:rPr>
        <w:t>对招标文件进行的答疑、澄清、变更或补充，将在网站上及时发布，该公告内容为招标文件的组成部分，对投标人具有同样约束力效力。当招标文件、招标文件的答疑、澄清、变更或补充等在同一内容的表述上不一致时，以最后发出的书面文件为准。投标人应主动上网查询。文旅博览集团不承担投标人未及时关注相关信息引发的相关责任。</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0" w:name="_Toc51505243"/>
      <w:bookmarkStart w:id="41" w:name="_Toc7187425"/>
      <w:bookmarkStart w:id="42" w:name="_Toc20006"/>
      <w:bookmarkStart w:id="43" w:name="_Toc22888334"/>
      <w:bookmarkStart w:id="44" w:name="_Toc19773338"/>
      <w:r>
        <w:rPr>
          <w:rFonts w:hint="eastAsia" w:ascii="宋体" w:hAnsi="宋体"/>
          <w:b/>
          <w:bCs/>
          <w:color w:val="000000" w:themeColor="text1"/>
          <w:sz w:val="28"/>
          <w:szCs w:val="32"/>
          <w:lang w:val="en-US" w:eastAsia="zh-CN"/>
          <w14:textFill>
            <w14:solidFill>
              <w14:schemeClr w14:val="tx1"/>
            </w14:solidFill>
          </w14:textFill>
        </w:rPr>
        <w:t>五</w:t>
      </w:r>
      <w:r>
        <w:rPr>
          <w:rFonts w:hint="eastAsia" w:ascii="宋体" w:hAnsi="宋体"/>
          <w:b/>
          <w:bCs/>
          <w:color w:val="000000" w:themeColor="text1"/>
          <w:sz w:val="28"/>
          <w:szCs w:val="32"/>
          <w14:textFill>
            <w14:solidFill>
              <w14:schemeClr w14:val="tx1"/>
            </w14:solidFill>
          </w14:textFill>
        </w:rPr>
        <w:t>．投标文件的澄清</w:t>
      </w:r>
      <w:bookmarkEnd w:id="40"/>
      <w:bookmarkEnd w:id="41"/>
      <w:bookmarkEnd w:id="42"/>
      <w:bookmarkEnd w:id="43"/>
      <w:bookmarkEnd w:id="44"/>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1.为有助于投标文件的审查、评估和比较，招标人有权向投标人质疑并请投标人澄清其投标内容。投标人应当按照招标人通知的时间、地点，指派专人进行答疑和澄清。</w:t>
      </w:r>
    </w:p>
    <w:p>
      <w:pPr>
        <w:spacing w:line="360" w:lineRule="auto"/>
        <w:ind w:firstLine="549"/>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2.重要的澄清应是书面的，但不得对投标内容进行实质性修改。</w:t>
      </w:r>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45" w:name="_Toc20524"/>
      <w:bookmarkStart w:id="46" w:name="_Toc22888335"/>
      <w:bookmarkStart w:id="47" w:name="_Toc7187426"/>
      <w:bookmarkStart w:id="48" w:name="_Toc19773339"/>
      <w:bookmarkStart w:id="49" w:name="_Toc51505244"/>
      <w:r>
        <w:rPr>
          <w:rFonts w:hint="eastAsia" w:ascii="宋体" w:hAnsi="宋体"/>
          <w:b/>
          <w:bCs/>
          <w:color w:val="000000" w:themeColor="text1"/>
          <w:sz w:val="28"/>
          <w:szCs w:val="32"/>
          <w:lang w:val="en-US" w:eastAsia="zh-CN"/>
          <w14:textFill>
            <w14:solidFill>
              <w14:schemeClr w14:val="tx1"/>
            </w14:solidFill>
          </w14:textFill>
        </w:rPr>
        <w:t>六</w:t>
      </w:r>
      <w:r>
        <w:rPr>
          <w:rFonts w:hint="eastAsia" w:ascii="宋体" w:hAnsi="宋体"/>
          <w:b/>
          <w:bCs/>
          <w:color w:val="000000" w:themeColor="text1"/>
          <w:sz w:val="28"/>
          <w:szCs w:val="32"/>
          <w14:textFill>
            <w14:solidFill>
              <w14:schemeClr w14:val="tx1"/>
            </w14:solidFill>
          </w14:textFill>
        </w:rPr>
        <w:t>.中标通知书</w:t>
      </w:r>
      <w:bookmarkEnd w:id="45"/>
      <w:bookmarkEnd w:id="46"/>
      <w:bookmarkEnd w:id="47"/>
      <w:bookmarkEnd w:id="48"/>
      <w:bookmarkEnd w:id="49"/>
    </w:p>
    <w:p>
      <w:pPr>
        <w:tabs>
          <w:tab w:val="left" w:pos="709"/>
        </w:tabs>
        <w:snapToGrid w:val="0"/>
        <w:spacing w:line="360" w:lineRule="auto"/>
        <w:ind w:firstLine="600" w:firstLineChars="25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将以中标通知书形式通知中标人，其投标已被接受。</w:t>
      </w:r>
    </w:p>
    <w:p>
      <w:pPr>
        <w:tabs>
          <w:tab w:val="left" w:pos="709"/>
        </w:tabs>
        <w:snapToGrid w:val="0"/>
        <w:spacing w:line="360" w:lineRule="auto"/>
        <w:ind w:left="566"/>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cs="宋体"/>
          <w:color w:val="000000" w:themeColor="text1"/>
          <w:sz w:val="24"/>
          <w14:textFill>
            <w14:solidFill>
              <w14:schemeClr w14:val="tx1"/>
            </w14:solidFill>
          </w14:textFill>
        </w:rPr>
        <w:t>对未中标的投标人不做未中标原因的解释。</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中标公示期满后，中标人请在3个工作日内委派专人凭介绍信或公司授权书（须同时携带有效身份证明）领取中标通知书。</w:t>
      </w:r>
      <w:bookmarkEnd w:id="33"/>
      <w:bookmarkEnd w:id="34"/>
    </w:p>
    <w:p>
      <w:pPr>
        <w:keepNext/>
        <w:keepLines/>
        <w:spacing w:before="260" w:after="260" w:line="360" w:lineRule="auto"/>
        <w:ind w:firstLine="628"/>
        <w:jc w:val="center"/>
        <w:outlineLvl w:val="2"/>
        <w:rPr>
          <w:rFonts w:ascii="宋体" w:hAnsi="宋体"/>
          <w:b/>
          <w:bCs/>
          <w:color w:val="000000" w:themeColor="text1"/>
          <w:sz w:val="28"/>
          <w:szCs w:val="32"/>
          <w14:textFill>
            <w14:solidFill>
              <w14:schemeClr w14:val="tx1"/>
            </w14:solidFill>
          </w14:textFill>
        </w:rPr>
      </w:pPr>
      <w:bookmarkStart w:id="50" w:name="_Toc2884"/>
      <w:bookmarkStart w:id="51" w:name="_Toc19773340"/>
      <w:bookmarkStart w:id="52" w:name="_Toc51505245"/>
      <w:bookmarkStart w:id="53" w:name="_Toc7187427"/>
      <w:bookmarkStart w:id="54" w:name="_Toc22888336"/>
      <w:r>
        <w:rPr>
          <w:rFonts w:hint="eastAsia" w:ascii="宋体" w:hAnsi="宋体"/>
          <w:b/>
          <w:bCs/>
          <w:color w:val="000000" w:themeColor="text1"/>
          <w:sz w:val="28"/>
          <w:szCs w:val="32"/>
          <w:lang w:val="en-US" w:eastAsia="zh-CN"/>
          <w14:textFill>
            <w14:solidFill>
              <w14:schemeClr w14:val="tx1"/>
            </w14:solidFill>
          </w14:textFill>
        </w:rPr>
        <w:t>七</w:t>
      </w:r>
      <w:r>
        <w:rPr>
          <w:rFonts w:hint="eastAsia" w:ascii="宋体" w:hAnsi="宋体"/>
          <w:b/>
          <w:bCs/>
          <w:color w:val="000000" w:themeColor="text1"/>
          <w:sz w:val="28"/>
          <w:szCs w:val="32"/>
          <w14:textFill>
            <w14:solidFill>
              <w14:schemeClr w14:val="tx1"/>
            </w14:solidFill>
          </w14:textFill>
        </w:rPr>
        <w:t>.异议处理</w:t>
      </w:r>
      <w:bookmarkEnd w:id="50"/>
      <w:bookmarkEnd w:id="51"/>
      <w:bookmarkEnd w:id="52"/>
      <w:bookmarkEnd w:id="53"/>
      <w:bookmarkEnd w:id="54"/>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ascii="宋体" w:hAnsi="宋体"/>
          <w:bCs/>
          <w:color w:val="000000" w:themeColor="text1"/>
          <w:sz w:val="24"/>
          <w14:textFill>
            <w14:solidFill>
              <w14:schemeClr w14:val="tx1"/>
            </w14:solidFill>
          </w14:textFill>
        </w:rPr>
        <w:t>投标人或者其他利害关系人对依法必须进行招标的项目的评标结果有异议的，应当在中标候选人公示期间</w:t>
      </w:r>
      <w:r>
        <w:rPr>
          <w:rFonts w:hint="eastAsia" w:ascii="宋体" w:hAnsi="宋体"/>
          <w:bCs/>
          <w:color w:val="000000" w:themeColor="text1"/>
          <w:sz w:val="24"/>
          <w14:textFill>
            <w14:solidFill>
              <w14:schemeClr w14:val="tx1"/>
            </w14:solidFill>
          </w14:textFill>
        </w:rPr>
        <w:t>，由投标人授权代表（或法定代表人）携带身份证明材料，以书面形式向</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提出异议，逾期不予受理。</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2.异议书内容应包括异议的详细理由和依据，并提供有关证明资料。</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3.有以下情形之一的，视为无效异议：</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3.1 未按规定时间或规定手续提交异议的；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3.2异议内容含糊不清、没有提供详细理由和依据，无法进行核查的；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3.3其他不符合异议程序和有关规定的。</w:t>
      </w:r>
    </w:p>
    <w:p>
      <w:pPr>
        <w:spacing w:line="360" w:lineRule="auto"/>
        <w:ind w:firstLine="523" w:firstLineChars="218"/>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w:t>
      </w:r>
      <w:r>
        <w:rPr>
          <w:rFonts w:hint="eastAsia" w:ascii="宋体" w:hAnsi="宋体"/>
          <w:color w:val="000000" w:themeColor="text1"/>
          <w:sz w:val="24"/>
          <w:szCs w:val="24"/>
          <w:lang w:val="en-US" w:eastAsia="zh-CN"/>
          <w14:textFill>
            <w14:solidFill>
              <w14:schemeClr w14:val="tx1"/>
            </w14:solidFill>
          </w14:textFill>
        </w:rPr>
        <w:t>合肥体育产业投资有限公司</w:t>
      </w:r>
      <w:r>
        <w:rPr>
          <w:rFonts w:hint="eastAsia" w:ascii="宋体" w:hAnsi="宋体"/>
          <w:bCs/>
          <w:color w:val="000000" w:themeColor="text1"/>
          <w:sz w:val="24"/>
          <w14:textFill>
            <w14:solidFill>
              <w14:schemeClr w14:val="tx1"/>
            </w14:solidFill>
          </w14:textFill>
        </w:rPr>
        <w:t>将在收到书面质疑后5个工作日内审查异议事项，作出答复或相关处理决定，并以书面形式通知异议人，但答复的内容不涉及商业秘密。</w:t>
      </w:r>
    </w:p>
    <w:p>
      <w:pPr>
        <w:keepNext/>
        <w:keepLines/>
        <w:spacing w:before="260" w:after="260" w:line="360" w:lineRule="auto"/>
        <w:jc w:val="center"/>
        <w:outlineLvl w:val="2"/>
        <w:rPr>
          <w:rFonts w:ascii="宋体" w:hAnsi="宋体"/>
          <w:b/>
          <w:bCs/>
          <w:color w:val="000000" w:themeColor="text1"/>
          <w:sz w:val="28"/>
          <w:szCs w:val="32"/>
          <w14:textFill>
            <w14:solidFill>
              <w14:schemeClr w14:val="tx1"/>
            </w14:solidFill>
          </w14:textFill>
        </w:rPr>
      </w:pPr>
      <w:bookmarkStart w:id="55" w:name="_Toc7187428"/>
      <w:bookmarkStart w:id="56" w:name="_Toc19773341"/>
      <w:bookmarkStart w:id="57" w:name="_Toc20014"/>
      <w:bookmarkStart w:id="58" w:name="_Toc51505246"/>
      <w:bookmarkStart w:id="59" w:name="_Toc22888337"/>
      <w:r>
        <w:rPr>
          <w:rFonts w:hint="eastAsia" w:ascii="宋体" w:hAnsi="宋体"/>
          <w:b/>
          <w:bCs/>
          <w:color w:val="000000" w:themeColor="text1"/>
          <w:sz w:val="28"/>
          <w:szCs w:val="32"/>
          <w:lang w:val="en-US" w:eastAsia="zh-CN"/>
          <w14:textFill>
            <w14:solidFill>
              <w14:schemeClr w14:val="tx1"/>
            </w14:solidFill>
          </w14:textFill>
        </w:rPr>
        <w:t>八</w:t>
      </w:r>
      <w:r>
        <w:rPr>
          <w:rFonts w:hint="eastAsia" w:ascii="宋体" w:hAnsi="宋体"/>
          <w:b/>
          <w:bCs/>
          <w:color w:val="000000" w:themeColor="text1"/>
          <w:sz w:val="28"/>
          <w:szCs w:val="32"/>
          <w14:textFill>
            <w14:solidFill>
              <w14:schemeClr w14:val="tx1"/>
            </w14:solidFill>
          </w14:textFill>
        </w:rPr>
        <w:t>．签订合同</w:t>
      </w:r>
      <w:bookmarkEnd w:id="55"/>
      <w:bookmarkEnd w:id="56"/>
      <w:bookmarkEnd w:id="57"/>
      <w:bookmarkEnd w:id="58"/>
      <w:bookmarkEnd w:id="59"/>
    </w:p>
    <w:p>
      <w:pPr>
        <w:spacing w:line="360" w:lineRule="auto"/>
        <w:ind w:firstLine="549"/>
        <w:rPr>
          <w:rFonts w:ascii="宋体" w:hAnsi="宋体"/>
          <w:color w:val="000000" w:themeColor="text1"/>
          <w:sz w:val="24"/>
          <w:szCs w:val="24"/>
          <w14:textFill>
            <w14:solidFill>
              <w14:schemeClr w14:val="tx1"/>
            </w14:solidFill>
          </w14:textFill>
        </w:rPr>
      </w:pP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1.履约保证金</w:t>
      </w:r>
    </w:p>
    <w:p>
      <w:pPr>
        <w:spacing w:line="360" w:lineRule="auto"/>
        <w:ind w:firstLine="549"/>
        <w:rPr>
          <w:rFonts w:ascii="宋体" w:hAnsi="宋体"/>
          <w:dstrike/>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1.1签订合同前，投标人应提交履约保证金。履约保证金金额、收受方式及收受人见投标人须知前附表规定。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1.2投标人须知前附表约定收取履约保证金或免收履约保证金的，从其规定。</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3如果中标人未按规定交纳履约保证金，招标人有权取消该授标，在此情况下招标人可将该标授予其下一个中标候选人，或重新招标。</w:t>
      </w:r>
    </w:p>
    <w:p>
      <w:pPr>
        <w:spacing w:line="360" w:lineRule="auto"/>
        <w:ind w:firstLine="549"/>
        <w:rPr>
          <w:rFonts w:ascii="宋体" w:hAnsi="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w:t>
      </w:r>
      <w:r>
        <w:rPr>
          <w:rFonts w:hint="eastAsia" w:ascii="宋体" w:hAnsi="宋体"/>
          <w:b/>
          <w:color w:val="000000" w:themeColor="text1"/>
          <w:sz w:val="24"/>
          <w14:textFill>
            <w14:solidFill>
              <w14:schemeClr w14:val="tx1"/>
            </w14:solidFill>
          </w14:textFill>
        </w:rPr>
        <w:t>签订合同</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2.1中标人应在中标通知书发出之日起7日内（具体时间、地点见中标通知书）与委托人签订合同。招标文件、中标人的投标文件及澄清文件等，均作为合同的附件。</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2.2中标人、委托人双方必须严格按照招标文件、投标文件及有关承诺签订合同，不得擅自变更。合同的标的、价款、质量、履行期限等主要条款应当与招标文件和中标人的投标文件的内容一致，委托人和中标人不得再行订立背离合同实质性内容的其他协议。</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2.3招标人保留以书面形式要求合同的卖方对其所投货物的装运方式、交货地点及服务细则等作适当调整的权利。</w:t>
      </w:r>
    </w:p>
    <w:p>
      <w:pPr>
        <w:spacing w:line="360" w:lineRule="auto"/>
        <w:ind w:firstLine="523" w:firstLineChars="218"/>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2.4</w:t>
      </w:r>
      <w:r>
        <w:rPr>
          <w:rFonts w:hint="eastAsia" w:ascii="宋体" w:hAnsi="宋体" w:cs="宋体"/>
          <w:color w:val="000000" w:themeColor="text1"/>
          <w:kern w:val="0"/>
          <w:sz w:val="24"/>
          <w14:textFill>
            <w14:solidFill>
              <w14:schemeClr w14:val="tx1"/>
            </w14:solidFill>
          </w14:textFill>
        </w:rPr>
        <w:t>招标人在授予合同时有权对标的物的数量予以适当的增加或减少；</w:t>
      </w:r>
    </w:p>
    <w:p>
      <w:pPr>
        <w:spacing w:line="360" w:lineRule="auto"/>
        <w:ind w:firstLine="549"/>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2.5中标人不与委托人签订合同的，招标人可单方面取消其中标资格，并追究其责任。</w:t>
      </w:r>
    </w:p>
    <w:p>
      <w:pPr>
        <w:pStyle w:val="78"/>
        <w:numPr>
          <w:ilvl w:val="1"/>
          <w:numId w:val="5"/>
        </w:numPr>
        <w:spacing w:line="360" w:lineRule="auto"/>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合同履行完毕后，经委托人考核合格，双方可续签合同。</w:t>
      </w:r>
    </w:p>
    <w:p>
      <w:pPr>
        <w:spacing w:line="360" w:lineRule="auto"/>
        <w:rPr>
          <w:rFonts w:ascii="宋体" w:hAnsi="宋体"/>
          <w:color w:val="000000" w:themeColor="text1"/>
          <w:sz w:val="24"/>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spacing w:line="360" w:lineRule="auto"/>
        <w:rPr>
          <w:color w:val="000000" w:themeColor="text1"/>
          <w14:textFill>
            <w14:solidFill>
              <w14:schemeClr w14:val="tx1"/>
            </w14:solidFill>
          </w14:textFill>
        </w:rPr>
      </w:pPr>
    </w:p>
    <w:p>
      <w:pPr>
        <w:pStyle w:val="5"/>
        <w:spacing w:line="500" w:lineRule="exact"/>
        <w:jc w:val="center"/>
        <w:rPr>
          <w:rFonts w:ascii="宋体" w:hAnsi="宋体"/>
          <w:color w:val="000000" w:themeColor="text1"/>
          <w:szCs w:val="36"/>
          <w14:textFill>
            <w14:solidFill>
              <w14:schemeClr w14:val="tx1"/>
            </w14:solidFill>
          </w14:textFill>
        </w:rPr>
      </w:pPr>
      <w:bookmarkStart w:id="60" w:name="_Toc16845"/>
      <w:r>
        <w:rPr>
          <w:rFonts w:hint="eastAsia" w:ascii="宋体" w:hAnsi="宋体"/>
          <w:color w:val="000000" w:themeColor="text1"/>
          <w14:textFill>
            <w14:solidFill>
              <w14:schemeClr w14:val="tx1"/>
            </w14:solidFill>
          </w14:textFill>
        </w:rPr>
        <w:t>第</w:t>
      </w:r>
      <w:bookmarkStart w:id="61" w:name="_Hlt240110027"/>
      <w:bookmarkEnd w:id="61"/>
      <w:r>
        <w:rPr>
          <w:rFonts w:hint="eastAsia" w:ascii="宋体" w:hAnsi="宋体"/>
          <w:color w:val="000000" w:themeColor="text1"/>
          <w14:textFill>
            <w14:solidFill>
              <w14:schemeClr w14:val="tx1"/>
            </w14:solidFill>
          </w14:textFill>
        </w:rPr>
        <w:t>四章</w:t>
      </w:r>
      <w:bookmarkStart w:id="62" w:name="_Hlt509716920"/>
      <w:bookmarkEnd w:id="62"/>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szCs w:val="36"/>
          <w14:textFill>
            <w14:solidFill>
              <w14:schemeClr w14:val="tx1"/>
            </w14:solidFill>
          </w14:textFill>
        </w:rPr>
        <w:t>招标需求</w:t>
      </w:r>
      <w:bookmarkEnd w:id="21"/>
      <w:bookmarkEnd w:id="22"/>
      <w:bookmarkEnd w:id="23"/>
      <w:bookmarkEnd w:id="60"/>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前注：</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1.投标人自行考虑“营改增”税收费用及风险，中标后须按国家相关规定</w:t>
      </w:r>
      <w:r>
        <w:rPr>
          <w:rFonts w:hint="eastAsia" w:hAnsi="宋体"/>
          <w:color w:val="000000" w:themeColor="text1"/>
          <w:sz w:val="24"/>
          <w:szCs w:val="28"/>
          <w14:textFill>
            <w14:solidFill>
              <w14:schemeClr w14:val="tx1"/>
            </w14:solidFill>
          </w14:textFill>
        </w:rPr>
        <w:t>缴纳</w:t>
      </w:r>
      <w:r>
        <w:rPr>
          <w:rFonts w:hint="eastAsia" w:ascii="宋体" w:hAnsi="宋体"/>
          <w:color w:val="000000" w:themeColor="text1"/>
          <w:sz w:val="24"/>
          <w:szCs w:val="28"/>
          <w14:textFill>
            <w14:solidFill>
              <w14:schemeClr w14:val="tx1"/>
            </w14:solidFill>
          </w14:textFill>
        </w:rPr>
        <w:t>税金并按委托人要求提供发票，费用含在本次投标总价中，中标后不作调整。</w:t>
      </w:r>
    </w:p>
    <w:p>
      <w:pPr>
        <w:spacing w:line="360" w:lineRule="auto"/>
        <w:ind w:firstLine="480" w:firstLineChars="200"/>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2.如对本招标文件有任何疑问或澄清要求，请按本招标文件“投标人须知前附表”中的约定方式联系</w:t>
      </w:r>
      <w:r>
        <w:rPr>
          <w:rFonts w:hint="eastAsia" w:ascii="宋体" w:hAnsi="宋体"/>
          <w:color w:val="000000" w:themeColor="text1"/>
          <w:sz w:val="24"/>
          <w:szCs w:val="28"/>
          <w:lang w:val="en-US" w:eastAsia="zh-CN"/>
          <w14:textFill>
            <w14:solidFill>
              <w14:schemeClr w14:val="tx1"/>
            </w14:solidFill>
          </w14:textFill>
        </w:rPr>
        <w:t>合肥体育产业投资有限公司</w:t>
      </w:r>
      <w:r>
        <w:rPr>
          <w:rFonts w:hint="eastAsia" w:ascii="宋体" w:hAnsi="宋体"/>
          <w:color w:val="000000" w:themeColor="text1"/>
          <w:sz w:val="24"/>
          <w:szCs w:val="28"/>
          <w14:textFill>
            <w14:solidFill>
              <w14:schemeClr w14:val="tx1"/>
            </w14:solidFill>
          </w14:textFill>
        </w:rPr>
        <w:t>，或接受答疑截止时间前联系招标人。否则视同理解和接受。</w:t>
      </w:r>
    </w:p>
    <w:p>
      <w:pPr>
        <w:spacing w:line="360" w:lineRule="auto"/>
        <w:rPr>
          <w:color w:val="000000" w:themeColor="text1"/>
          <w14:textFill>
            <w14:solidFill>
              <w14:schemeClr w14:val="tx1"/>
            </w14:solidFill>
          </w14:textFill>
        </w:rPr>
      </w:pPr>
    </w:p>
    <w:p>
      <w:pPr>
        <w:pStyle w:val="78"/>
        <w:numPr>
          <w:ilvl w:val="0"/>
          <w:numId w:val="6"/>
        </w:numPr>
        <w:spacing w:line="360" w:lineRule="auto"/>
        <w:ind w:firstLineChars="0"/>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项目简介</w:t>
      </w:r>
    </w:p>
    <w:p>
      <w:pPr>
        <w:pStyle w:val="78"/>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肥体育中心建设标准可承办全国运动会及单项国际赛事的大型公共体育设施场馆，体育中心风格定位为开放式体育公园，是集体育运动和比赛、展览、办公、会议、餐饮、休闲为一体的综合性、智能化建筑体系。</w:t>
      </w:r>
    </w:p>
    <w:p>
      <w:pPr>
        <w:autoSpaceDE w:val="0"/>
        <w:autoSpaceDN w:val="0"/>
        <w:adjustRightInd w:val="0"/>
        <w:spacing w:line="360" w:lineRule="auto"/>
        <w:ind w:firstLine="354" w:firstLineChars="147"/>
        <w:jc w:val="left"/>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二、招标需求</w:t>
      </w:r>
    </w:p>
    <w:p>
      <w:pPr>
        <w:pStyle w:val="58"/>
        <w:keepNext w:val="0"/>
        <w:keepLines w:val="0"/>
        <w:pageBreakBefore w:val="0"/>
        <w:numPr>
          <w:ilvl w:val="0"/>
          <w:numId w:val="7"/>
        </w:numPr>
        <w:kinsoku/>
        <w:wordWrap/>
        <w:overflowPunct/>
        <w:topLinePunct w:val="0"/>
        <w:autoSpaceDE/>
        <w:autoSpaceDN/>
        <w:bidi w:val="0"/>
        <w:adjustRightInd/>
        <w:snapToGrid/>
        <w:spacing w:line="540" w:lineRule="exact"/>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kern w:val="2"/>
          <w:sz w:val="24"/>
          <w:szCs w:val="24"/>
          <w:lang w:val="en-US" w:eastAsia="zh-CN" w:bidi="ar-SA"/>
          <w14:textFill>
            <w14:solidFill>
              <w14:schemeClr w14:val="tx1"/>
            </w14:solidFill>
          </w14:textFill>
        </w:rPr>
        <w:t>50m³（泳池实际容量以现场勘测为准，其中竞赛池或跳水池每年开放时间一般不超过3个月）】和天鹅湖全民健身中心游泳馆（训练池、戏水池）2023年度的水处理药剂、水质养护服务、自动投药设备的维护（水处理药剂主要包括不限于二水二氯、杀菌剂、澄清剂、除藻剂、中和剂、PH升高剂、PH降低剂、三氯速溶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2、提供每次供货清单，并由专人签字确认保管。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3、专人服务，定期提供游泳馆水质检测分析工作报告（一周一次），并对水质不合格情况当天进行整改；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w:t>
      </w:r>
      <w:bookmarkStart w:id="63" w:name="_Hlk97909431"/>
      <w:r>
        <w:rPr>
          <w:rFonts w:hint="eastAsia" w:ascii="宋体" w:hAnsi="宋体" w:eastAsia="宋体" w:cs="宋体"/>
          <w:color w:val="000000" w:themeColor="text1"/>
          <w:kern w:val="2"/>
          <w:sz w:val="24"/>
          <w:szCs w:val="24"/>
          <w:lang w:val="en-US" w:eastAsia="zh-CN" w:bidi="ar-SA"/>
          <w14:textFill>
            <w14:solidFill>
              <w14:schemeClr w14:val="tx1"/>
            </w14:solidFill>
          </w14:textFill>
        </w:rPr>
        <w:t>负责游泳馆自动投药设备维护、维修及水质相关问题的处理工作</w:t>
      </w:r>
      <w:bookmarkEnd w:id="63"/>
      <w:r>
        <w:rPr>
          <w:rFonts w:hint="eastAsia" w:ascii="宋体" w:hAnsi="宋体" w:eastAsia="宋体" w:cs="宋体"/>
          <w:color w:val="000000" w:themeColor="text1"/>
          <w:kern w:val="2"/>
          <w:sz w:val="24"/>
          <w:szCs w:val="24"/>
          <w:lang w:val="en-US" w:eastAsia="zh-CN" w:bidi="ar-SA"/>
          <w14:textFill>
            <w14:solidFill>
              <w14:schemeClr w14:val="tx1"/>
            </w14:solidFill>
          </w14:textFill>
        </w:rPr>
        <w:t>，提供有效处理方案；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5、协助卫生主管部门对游泳馆水质检查准备工作，并承担因水质处理不达标的行政处罚责任；</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6、配合参与其它与游泳馆水质相关的工作。</w:t>
      </w: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三、游泳池药剂项目清单</w:t>
      </w:r>
    </w:p>
    <w:tbl>
      <w:tblPr>
        <w:tblStyle w:val="50"/>
        <w:tblW w:w="9520" w:type="dxa"/>
        <w:tblInd w:w="-34" w:type="dxa"/>
        <w:tblLayout w:type="fixed"/>
        <w:tblCellMar>
          <w:top w:w="0" w:type="dxa"/>
          <w:left w:w="108" w:type="dxa"/>
          <w:bottom w:w="0" w:type="dxa"/>
          <w:right w:w="108" w:type="dxa"/>
        </w:tblCellMar>
      </w:tblPr>
      <w:tblGrid>
        <w:gridCol w:w="720"/>
        <w:gridCol w:w="1334"/>
        <w:gridCol w:w="2233"/>
        <w:gridCol w:w="1333"/>
        <w:gridCol w:w="1300"/>
        <w:gridCol w:w="1300"/>
        <w:gridCol w:w="1300"/>
      </w:tblGrid>
      <w:tr>
        <w:tblPrEx>
          <w:tblCellMar>
            <w:top w:w="0" w:type="dxa"/>
            <w:left w:w="108" w:type="dxa"/>
            <w:bottom w:w="0" w:type="dxa"/>
            <w:right w:w="108" w:type="dxa"/>
          </w:tblCellMar>
        </w:tblPrEx>
        <w:trPr>
          <w:trHeight w:val="499" w:hRule="atLeast"/>
        </w:trPr>
        <w:tc>
          <w:tcPr>
            <w:tcW w:w="7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序号</w:t>
            </w:r>
          </w:p>
        </w:tc>
        <w:tc>
          <w:tcPr>
            <w:tcW w:w="133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图片</w:t>
            </w:r>
          </w:p>
        </w:tc>
        <w:tc>
          <w:tcPr>
            <w:tcW w:w="22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名称</w:t>
            </w:r>
          </w:p>
        </w:tc>
        <w:tc>
          <w:tcPr>
            <w:tcW w:w="133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规格</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lang w:val="en-US" w:eastAsia="zh-CN"/>
                <w14:textFill>
                  <w14:solidFill>
                    <w14:schemeClr w14:val="tx1"/>
                  </w14:solidFill>
                </w14:textFill>
              </w:rPr>
              <w:t xml:space="preserve">   数量</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单价</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小计</w:t>
            </w:r>
          </w:p>
        </w:tc>
      </w:tr>
      <w:tr>
        <w:tblPrEx>
          <w:tblCellMar>
            <w:top w:w="0" w:type="dxa"/>
            <w:left w:w="108" w:type="dxa"/>
            <w:bottom w:w="0" w:type="dxa"/>
            <w:right w:w="108" w:type="dxa"/>
          </w:tblCellMar>
        </w:tblPrEx>
        <w:trPr>
          <w:trHeight w:val="822"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507365" cy="666750"/>
                  <wp:effectExtent l="0" t="0" r="698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8"/>
                          <a:stretch>
                            <a:fillRect/>
                          </a:stretch>
                        </pic:blipFill>
                        <pic:spPr>
                          <a:xfrm>
                            <a:off x="0" y="0"/>
                            <a:ext cx="507365" cy="666750"/>
                          </a:xfrm>
                          <a:prstGeom prst="rect">
                            <a:avLst/>
                          </a:prstGeom>
                          <a:noFill/>
                          <a:ln w="9525">
                            <a:noFill/>
                          </a:ln>
                        </pic:spPr>
                      </pic:pic>
                    </a:graphicData>
                  </a:graphic>
                </wp:inline>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速溶氯片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3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0288" behindDoc="0" locked="0" layoutInCell="1" allowOverlap="1">
                  <wp:simplePos x="0" y="0"/>
                  <wp:positionH relativeFrom="column">
                    <wp:posOffset>142875</wp:posOffset>
                  </wp:positionH>
                  <wp:positionV relativeFrom="paragraph">
                    <wp:posOffset>40005</wp:posOffset>
                  </wp:positionV>
                  <wp:extent cx="443865" cy="418465"/>
                  <wp:effectExtent l="0" t="0" r="13335" b="63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443865"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次氯酸钠--液体</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1300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4</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1312" behindDoc="0" locked="0" layoutInCell="1" allowOverlap="1">
                  <wp:simplePos x="0" y="0"/>
                  <wp:positionH relativeFrom="column">
                    <wp:posOffset>91440</wp:posOffset>
                  </wp:positionH>
                  <wp:positionV relativeFrom="paragraph">
                    <wp:posOffset>65405</wp:posOffset>
                  </wp:positionV>
                  <wp:extent cx="495300" cy="367030"/>
                  <wp:effectExtent l="0" t="0" r="0" b="1397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a:stretch>
                            <a:fillRect/>
                          </a:stretch>
                        </pic:blipFill>
                        <pic:spPr>
                          <a:xfrm>
                            <a:off x="0" y="0"/>
                            <a:ext cx="495300"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PH降低剂（酸性）</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66"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5</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4384" behindDoc="0" locked="0" layoutInCell="1" allowOverlap="1">
                  <wp:simplePos x="0" y="0"/>
                  <wp:positionH relativeFrom="column">
                    <wp:posOffset>26035</wp:posOffset>
                  </wp:positionH>
                  <wp:positionV relativeFrom="paragraph">
                    <wp:posOffset>144780</wp:posOffset>
                  </wp:positionV>
                  <wp:extent cx="611505" cy="367030"/>
                  <wp:effectExtent l="0" t="0" r="17145" b="13970"/>
                  <wp:wrapNone/>
                  <wp:docPr id="3" name="图片 3" descr="臭氧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臭氧粉.jpg"/>
                          <pic:cNvPicPr>
                            <a:picLocks noChangeAspect="1"/>
                          </pic:cNvPicPr>
                        </pic:nvPicPr>
                        <pic:blipFill>
                          <a:blip r:embed="rId11"/>
                          <a:stretch>
                            <a:fillRect/>
                          </a:stretch>
                        </pic:blipFill>
                        <pic:spPr>
                          <a:xfrm>
                            <a:off x="0" y="0"/>
                            <a:ext cx="611505" cy="3670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臭氧粉</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20KG/桶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8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6</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2336" behindDoc="0" locked="0" layoutInCell="1" allowOverlap="1">
                  <wp:simplePos x="0" y="0"/>
                  <wp:positionH relativeFrom="column">
                    <wp:posOffset>-36195</wp:posOffset>
                  </wp:positionH>
                  <wp:positionV relativeFrom="paragraph">
                    <wp:posOffset>70485</wp:posOffset>
                  </wp:positionV>
                  <wp:extent cx="641985" cy="353695"/>
                  <wp:effectExtent l="0" t="0" r="5715" b="8255"/>
                  <wp:wrapNone/>
                  <wp:docPr id="4" name="图片 4" descr="超级浓缩澄清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超级浓缩澄清剂.jpg"/>
                          <pic:cNvPicPr>
                            <a:picLocks noChangeAspect="1"/>
                          </pic:cNvPicPr>
                        </pic:nvPicPr>
                        <pic:blipFill>
                          <a:blip r:embed="rId12"/>
                          <a:stretch>
                            <a:fillRect/>
                          </a:stretch>
                        </pic:blipFill>
                        <pic:spPr>
                          <a:xfrm>
                            <a:off x="0" y="0"/>
                            <a:ext cx="64198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超级浓缩澄清剂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320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69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7</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3360" behindDoc="0" locked="0" layoutInCell="1" allowOverlap="1">
                  <wp:simplePos x="0" y="0"/>
                  <wp:positionH relativeFrom="column">
                    <wp:posOffset>-5715</wp:posOffset>
                  </wp:positionH>
                  <wp:positionV relativeFrom="paragraph">
                    <wp:posOffset>63500</wp:posOffset>
                  </wp:positionV>
                  <wp:extent cx="591185" cy="373380"/>
                  <wp:effectExtent l="0" t="0" r="18415" b="7620"/>
                  <wp:wrapNone/>
                  <wp:docPr id="2" name="图片 2" descr="C:\Documents and Settings\admin\Application Data\Tencent\Users\971476026\QQ\WinTemp\RichOle\LCQ}U937BR{2LD%AC~[2N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Documents and Settings\admin\Application Data\Tencent\Users\971476026\QQ\WinTemp\RichOle\LCQ}U937BR{2LD%AC~[2N69.jpg"/>
                          <pic:cNvPicPr>
                            <a:picLocks noChangeAspect="1"/>
                          </pic:cNvPicPr>
                        </pic:nvPicPr>
                        <pic:blipFill>
                          <a:blip r:embed="rId13"/>
                          <a:stretch>
                            <a:fillRect/>
                          </a:stretch>
                        </pic:blipFill>
                        <pic:spPr>
                          <a:xfrm>
                            <a:off x="0" y="0"/>
                            <a:ext cx="591185" cy="37338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氯中和剂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110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8"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8</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5408" behindDoc="0" locked="0" layoutInCell="1" allowOverlap="1">
                  <wp:simplePos x="0" y="0"/>
                  <wp:positionH relativeFrom="column">
                    <wp:posOffset>97155</wp:posOffset>
                  </wp:positionH>
                  <wp:positionV relativeFrom="paragraph">
                    <wp:posOffset>13970</wp:posOffset>
                  </wp:positionV>
                  <wp:extent cx="466725" cy="443865"/>
                  <wp:effectExtent l="0" t="0" r="9525" b="1333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466725" cy="4438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除藻剂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80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9</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6432" behindDoc="0" locked="0" layoutInCell="1" allowOverlap="1">
                  <wp:simplePos x="0" y="0"/>
                  <wp:positionH relativeFrom="column">
                    <wp:posOffset>98425</wp:posOffset>
                  </wp:positionH>
                  <wp:positionV relativeFrom="paragraph">
                    <wp:posOffset>26035</wp:posOffset>
                  </wp:positionV>
                  <wp:extent cx="384810" cy="418465"/>
                  <wp:effectExtent l="0" t="0" r="15240" b="635"/>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384810" cy="41846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尿素去除剂</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1KG/瓶</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130</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804"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10</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7456" behindDoc="0" locked="0" layoutInCell="1" allowOverlap="1">
                  <wp:simplePos x="0" y="0"/>
                  <wp:positionH relativeFrom="column">
                    <wp:posOffset>100965</wp:posOffset>
                  </wp:positionH>
                  <wp:positionV relativeFrom="paragraph">
                    <wp:posOffset>100965</wp:posOffset>
                  </wp:positionV>
                  <wp:extent cx="494665" cy="353695"/>
                  <wp:effectExtent l="0" t="0" r="635" b="825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6"/>
                          <a:stretch>
                            <a:fillRect/>
                          </a:stretch>
                        </pic:blipFill>
                        <pic:spPr>
                          <a:xfrm>
                            <a:off x="0" y="0"/>
                            <a:ext cx="494665" cy="353695"/>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百灵达测试药片</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250片/盒</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13"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11</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68480" behindDoc="0" locked="0" layoutInCell="1" allowOverlap="1">
                  <wp:simplePos x="0" y="0"/>
                  <wp:positionH relativeFrom="column">
                    <wp:posOffset>50165</wp:posOffset>
                  </wp:positionH>
                  <wp:positionV relativeFrom="paragraph">
                    <wp:posOffset>48260</wp:posOffset>
                  </wp:positionV>
                  <wp:extent cx="598805" cy="392430"/>
                  <wp:effectExtent l="0" t="0" r="10795" b="762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7"/>
                          <a:stretch>
                            <a:fillRect/>
                          </a:stretch>
                        </pic:blipFill>
                        <pic:spPr>
                          <a:xfrm>
                            <a:off x="0" y="0"/>
                            <a:ext cx="598805" cy="392430"/>
                          </a:xfrm>
                          <a:prstGeom prst="rect">
                            <a:avLst/>
                          </a:prstGeom>
                          <a:noFill/>
                          <a:ln w="9525">
                            <a:noFill/>
                          </a:ln>
                        </pic:spPr>
                      </pic:pic>
                    </a:graphicData>
                  </a:graphic>
                </wp:anchor>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彩虹二合一测试盒</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余氯、PH值</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25</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68" w:hRule="atLeast"/>
        </w:trPr>
        <w:tc>
          <w:tcPr>
            <w:tcW w:w="720" w:type="dxa"/>
            <w:tcBorders>
              <w:top w:val="nil"/>
              <w:left w:val="single" w:color="auto" w:sz="4" w:space="0"/>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t>12</w:t>
            </w:r>
          </w:p>
        </w:tc>
        <w:tc>
          <w:tcPr>
            <w:tcW w:w="1334"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ascii="宋体" w:hAnsi="宋体" w:cs="宋体"/>
                <w:color w:val="000000" w:themeColor="text1"/>
                <w:kern w:val="0"/>
                <w:sz w:val="22"/>
                <w14:textFill>
                  <w14:solidFill>
                    <w14:schemeClr w14:val="tx1"/>
                  </w14:solidFill>
                </w14:textFill>
              </w:rPr>
              <w:drawing>
                <wp:anchor distT="0" distB="0" distL="114300" distR="114300" simplePos="0" relativeHeight="251670528" behindDoc="0" locked="0" layoutInCell="1" allowOverlap="1">
                  <wp:simplePos x="0" y="0"/>
                  <wp:positionH relativeFrom="column">
                    <wp:posOffset>431800</wp:posOffset>
                  </wp:positionH>
                  <wp:positionV relativeFrom="paragraph">
                    <wp:posOffset>125730</wp:posOffset>
                  </wp:positionV>
                  <wp:extent cx="276860" cy="353695"/>
                  <wp:effectExtent l="0" t="0" r="8890" b="8255"/>
                  <wp:wrapNone/>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8"/>
                          <a:stretch>
                            <a:fillRect/>
                          </a:stretch>
                        </pic:blipFill>
                        <pic:spPr>
                          <a:xfrm>
                            <a:off x="0" y="0"/>
                            <a:ext cx="276860" cy="353695"/>
                          </a:xfrm>
                          <a:prstGeom prst="rect">
                            <a:avLst/>
                          </a:prstGeom>
                          <a:noFill/>
                          <a:ln w="9525">
                            <a:noFill/>
                          </a:ln>
                        </pic:spPr>
                      </pic:pic>
                    </a:graphicData>
                  </a:graphic>
                </wp:anchor>
              </w:drawing>
            </w:r>
            <w:r>
              <w:rPr>
                <w:rFonts w:ascii="宋体" w:hAnsi="宋体" w:cs="宋体"/>
                <w:color w:val="000000" w:themeColor="text1"/>
                <w:kern w:val="0"/>
                <w:sz w:val="22"/>
                <w14:textFill>
                  <w14:solidFill>
                    <w14:schemeClr w14:val="tx1"/>
                  </w14:solidFill>
                </w14:textFill>
              </w:rPr>
              <w:drawing>
                <wp:anchor distT="0" distB="0" distL="114300" distR="114300" simplePos="0" relativeHeight="251669504" behindDoc="0" locked="0" layoutInCell="1" allowOverlap="1">
                  <wp:simplePos x="0" y="0"/>
                  <wp:positionH relativeFrom="column">
                    <wp:posOffset>3810</wp:posOffset>
                  </wp:positionH>
                  <wp:positionV relativeFrom="paragraph">
                    <wp:posOffset>118110</wp:posOffset>
                  </wp:positionV>
                  <wp:extent cx="328295" cy="353695"/>
                  <wp:effectExtent l="0" t="0" r="14605" b="8255"/>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9"/>
                          <a:stretch>
                            <a:fillRect/>
                          </a:stretch>
                        </pic:blipFill>
                        <pic:spPr>
                          <a:xfrm>
                            <a:off x="0" y="0"/>
                            <a:ext cx="328295" cy="353695"/>
                          </a:xfrm>
                          <a:prstGeom prst="rect">
                            <a:avLst/>
                          </a:prstGeom>
                          <a:noFill/>
                          <a:ln w="9525">
                            <a:noFill/>
                          </a:ln>
                        </pic:spPr>
                      </pic:pic>
                    </a:graphicData>
                  </a:graphic>
                </wp:anchor>
              </w:drawing>
            </w:r>
          </w:p>
        </w:tc>
        <w:tc>
          <w:tcPr>
            <w:tcW w:w="22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二合一测试盒补充液</w:t>
            </w:r>
          </w:p>
        </w:tc>
        <w:tc>
          <w:tcPr>
            <w:tcW w:w="1333"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250ML/瓶</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30</w:t>
            </w: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nil"/>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720"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13</w:t>
            </w:r>
          </w:p>
        </w:tc>
        <w:tc>
          <w:tcPr>
            <w:tcW w:w="133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drawing>
                <wp:inline distT="0" distB="0" distL="114300" distR="114300">
                  <wp:extent cx="709295" cy="742950"/>
                  <wp:effectExtent l="0" t="0" r="14605" b="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0"/>
                          <a:stretch>
                            <a:fillRect/>
                          </a:stretch>
                        </pic:blipFill>
                        <pic:spPr>
                          <a:xfrm>
                            <a:off x="0" y="0"/>
                            <a:ext cx="709295" cy="742950"/>
                          </a:xfrm>
                          <a:prstGeom prst="rect">
                            <a:avLst/>
                          </a:prstGeom>
                          <a:noFill/>
                          <a:ln>
                            <a:noFill/>
                          </a:ln>
                        </pic:spPr>
                      </pic:pic>
                    </a:graphicData>
                  </a:graphic>
                </wp:inline>
              </w:drawing>
            </w:r>
          </w:p>
        </w:tc>
        <w:tc>
          <w:tcPr>
            <w:tcW w:w="22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百灵达三参数</w:t>
            </w:r>
          </w:p>
        </w:tc>
        <w:tc>
          <w:tcPr>
            <w:tcW w:w="1333"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余氯、氰尿酸、PH值等</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eastAsiaTheme="minorEastAsia"/>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1</w:t>
            </w: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c>
          <w:tcPr>
            <w:tcW w:w="1300"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p>
        </w:tc>
      </w:tr>
      <w:tr>
        <w:tblPrEx>
          <w:tblCellMar>
            <w:top w:w="0" w:type="dxa"/>
            <w:left w:w="108" w:type="dxa"/>
            <w:bottom w:w="0" w:type="dxa"/>
            <w:right w:w="108" w:type="dxa"/>
          </w:tblCellMar>
        </w:tblPrEx>
        <w:trPr>
          <w:trHeight w:val="705" w:hRule="atLeast"/>
        </w:trPr>
        <w:tc>
          <w:tcPr>
            <w:tcW w:w="8220"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宋体" w:hAnsi="宋体" w:cs="宋体"/>
                <w:color w:val="000000" w:themeColor="text1"/>
                <w:kern w:val="0"/>
                <w:sz w:val="22"/>
                <w:lang w:val="en-US" w:eastAsia="zh-CN"/>
                <w14:textFill>
                  <w14:solidFill>
                    <w14:schemeClr w14:val="tx1"/>
                  </w14:solidFill>
                </w14:textFill>
              </w:rPr>
            </w:pPr>
            <w:r>
              <w:rPr>
                <w:rFonts w:hint="eastAsia" w:ascii="宋体" w:hAnsi="宋体" w:cs="宋体"/>
                <w:color w:val="000000" w:themeColor="text1"/>
                <w:kern w:val="0"/>
                <w:sz w:val="22"/>
                <w:lang w:val="en-US" w:eastAsia="zh-CN"/>
                <w14:textFill>
                  <w14:solidFill>
                    <w14:schemeClr w14:val="tx1"/>
                  </w14:solidFill>
                </w14:textFill>
              </w:rPr>
              <w:t>合计</w:t>
            </w:r>
          </w:p>
        </w:tc>
        <w:tc>
          <w:tcPr>
            <w:tcW w:w="1300"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default" w:ascii="宋体" w:hAnsi="宋体" w:cs="宋体"/>
                <w:color w:val="000000" w:themeColor="text1"/>
                <w:kern w:val="0"/>
                <w:sz w:val="22"/>
                <w:lang w:val="en-US" w:eastAsia="zh-CN"/>
                <w14:textFill>
                  <w14:solidFill>
                    <w14:schemeClr w14:val="tx1"/>
                  </w14:solidFill>
                </w14:textFill>
              </w:rPr>
            </w:pPr>
          </w:p>
        </w:tc>
      </w:tr>
    </w:tbl>
    <w:p>
      <w:pPr>
        <w:spacing w:line="360" w:lineRule="auto"/>
        <w:ind w:firstLine="482" w:firstLineChars="200"/>
        <w:rPr>
          <w:rFonts w:ascii="宋体" w:hAnsi="宋体"/>
          <w:b/>
          <w:color w:val="000000" w:themeColor="text1"/>
          <w:kern w:val="0"/>
          <w:sz w:val="24"/>
          <w:szCs w:val="24"/>
          <w14:textFill>
            <w14:solidFill>
              <w14:schemeClr w14:val="tx1"/>
            </w14:solidFill>
          </w14:textFill>
        </w:rPr>
      </w:pPr>
    </w:p>
    <w:p>
      <w:pPr>
        <w:spacing w:line="360" w:lineRule="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注：中标人须免费将所有货物送至招标人指定地点</w:t>
      </w:r>
    </w:p>
    <w:p>
      <w:pPr>
        <w:spacing w:line="360" w:lineRule="auto"/>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8"/>
          <w14:textFill>
            <w14:solidFill>
              <w14:schemeClr w14:val="tx1"/>
            </w14:solidFill>
          </w14:textFill>
        </w:rPr>
        <w:t>四、</w:t>
      </w:r>
      <w:r>
        <w:rPr>
          <w:rFonts w:hint="eastAsia" w:ascii="宋体" w:hAnsi="宋体"/>
          <w:b/>
          <w:color w:val="000000" w:themeColor="text1"/>
          <w:sz w:val="24"/>
          <w:szCs w:val="24"/>
          <w14:textFill>
            <w14:solidFill>
              <w14:schemeClr w14:val="tx1"/>
            </w14:solidFill>
          </w14:textFill>
        </w:rPr>
        <w:t>报价要求</w:t>
      </w:r>
    </w:p>
    <w:p>
      <w:pPr>
        <w:spacing w:line="360" w:lineRule="auto"/>
        <w:ind w:firstLine="481"/>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投标人须报全年药剂的投标总价</w:t>
      </w:r>
      <w:r>
        <w:rPr>
          <w:rFonts w:hint="eastAsia" w:ascii="宋体" w:hAnsi="宋体"/>
          <w:color w:val="000000" w:themeColor="text1"/>
          <w:sz w:val="24"/>
          <w:szCs w:val="28"/>
          <w:lang w:val="en-US" w:eastAsia="zh-CN"/>
          <w14:textFill>
            <w14:solidFill>
              <w14:schemeClr w14:val="tx1"/>
            </w14:solidFill>
          </w14:textFill>
        </w:rPr>
        <w:t>及药剂单价</w:t>
      </w:r>
      <w:r>
        <w:rPr>
          <w:rFonts w:hint="eastAsia" w:ascii="宋体" w:hAnsi="宋体"/>
          <w:color w:val="000000" w:themeColor="text1"/>
          <w:sz w:val="24"/>
          <w:szCs w:val="28"/>
          <w14:textFill>
            <w14:solidFill>
              <w14:schemeClr w14:val="tx1"/>
            </w14:solidFill>
          </w14:textFill>
        </w:rPr>
        <w:t>，投标总价作为定标的依据。投标总价包括但不限于全年药剂产品（主要及辅助材料）的购买费、包装费、人工费、运输、装卸、加工（含加工过程中的主要及辅助材料损耗）、验收、维保、培训、利润、税金</w:t>
      </w:r>
      <w:r>
        <w:rPr>
          <w:rFonts w:hint="eastAsia" w:ascii="宋体" w:hAnsi="宋体"/>
          <w:color w:val="000000" w:themeColor="text1"/>
          <w:sz w:val="24"/>
          <w:szCs w:val="28"/>
          <w:lang w:eastAsia="zh-CN"/>
          <w14:textFill>
            <w14:solidFill>
              <w14:schemeClr w14:val="tx1"/>
            </w14:solidFill>
          </w14:textFill>
        </w:rPr>
        <w:t>、</w:t>
      </w:r>
      <w:r>
        <w:rPr>
          <w:rFonts w:hint="eastAsia" w:ascii="宋体" w:hAnsi="宋体"/>
          <w:color w:val="000000" w:themeColor="text1"/>
          <w:sz w:val="24"/>
          <w:szCs w:val="28"/>
          <w:lang w:val="en-US" w:eastAsia="zh-CN"/>
          <w14:textFill>
            <w14:solidFill>
              <w14:schemeClr w14:val="tx1"/>
            </w14:solidFill>
          </w14:textFill>
        </w:rPr>
        <w:t>水质养护及投药设备维护</w:t>
      </w:r>
      <w:r>
        <w:rPr>
          <w:rFonts w:hint="eastAsia" w:ascii="宋体" w:hAnsi="宋体"/>
          <w:color w:val="000000" w:themeColor="text1"/>
          <w:sz w:val="24"/>
          <w:szCs w:val="28"/>
          <w14:textFill>
            <w14:solidFill>
              <w14:schemeClr w14:val="tx1"/>
            </w14:solidFill>
          </w14:textFill>
        </w:rPr>
        <w:t>等完成招标需求全部内容全部费用。投标报价总价不得高于项目概算。</w:t>
      </w:r>
    </w:p>
    <w:p>
      <w:pPr>
        <w:spacing w:line="360" w:lineRule="auto"/>
        <w:ind w:firstLine="481"/>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五、服务要求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w:t>
      </w:r>
      <w:r>
        <w:rPr>
          <w:rFonts w:hint="eastAsia" w:ascii="宋体" w:hAnsi="宋体"/>
          <w:bCs/>
          <w:color w:val="000000" w:themeColor="text1"/>
          <w:sz w:val="24"/>
          <w:lang w:val="en-US" w:eastAsia="zh-CN"/>
          <w14:textFill>
            <w14:solidFill>
              <w14:schemeClr w14:val="tx1"/>
            </w14:solidFill>
          </w14:textFill>
        </w:rPr>
        <w:t>对</w:t>
      </w:r>
      <w:r>
        <w:rPr>
          <w:rFonts w:hint="eastAsia" w:ascii="宋体" w:hAnsi="宋体"/>
          <w:bCs/>
          <w:color w:val="000000" w:themeColor="text1"/>
          <w:sz w:val="24"/>
          <w14:textFill>
            <w14:solidFill>
              <w14:schemeClr w14:val="tx1"/>
            </w14:solidFill>
          </w14:textFill>
        </w:rPr>
        <w:t>泳池药剂在线水质监测设备及自动投药系统</w:t>
      </w:r>
      <w:r>
        <w:rPr>
          <w:rFonts w:hint="eastAsia" w:ascii="宋体" w:hAnsi="宋体"/>
          <w:bCs/>
          <w:color w:val="000000" w:themeColor="text1"/>
          <w:sz w:val="24"/>
          <w:lang w:val="en-US" w:eastAsia="zh-CN"/>
          <w14:textFill>
            <w14:solidFill>
              <w14:schemeClr w14:val="tx1"/>
            </w14:solidFill>
          </w14:textFill>
        </w:rPr>
        <w:t>进行定期维护</w:t>
      </w:r>
      <w:r>
        <w:rPr>
          <w:rFonts w:hint="eastAsia" w:ascii="宋体" w:hAnsi="宋体"/>
          <w:bCs/>
          <w:color w:val="000000" w:themeColor="text1"/>
          <w:sz w:val="24"/>
          <w14:textFill>
            <w14:solidFill>
              <w14:schemeClr w14:val="tx1"/>
            </w14:solidFill>
          </w14:textFill>
        </w:rPr>
        <w:t>，确保泳池药剂为自动投加，自动检测（水处理药剂主要包括但不限于二水二氯、杀菌剂、澄清剂、除藻剂、中和剂、PH升高剂、PH降低剂、三氯速溶片等）</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lang w:val="en-US" w:eastAsia="zh-CN"/>
          <w14:textFill>
            <w14:solidFill>
              <w14:schemeClr w14:val="tx1"/>
            </w14:solidFill>
          </w14:textFill>
        </w:rPr>
        <w:t>正常运行</w:t>
      </w:r>
      <w:r>
        <w:rPr>
          <w:rFonts w:hint="eastAsia" w:ascii="宋体" w:hAnsi="宋体"/>
          <w:bCs/>
          <w:color w:val="000000" w:themeColor="text1"/>
          <w:sz w:val="24"/>
          <w14:textFill>
            <w14:solidFill>
              <w14:schemeClr w14:val="tx1"/>
            </w14:solidFill>
          </w14:textFill>
        </w:rPr>
        <w:t>；</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2．提供每次供货清单，由专人签字确认保管；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3．专人服务，定期提供游泳馆水质检测分析工作（一周一次）；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4．协助水质相关问题的处理工作，提供有效处理方案；</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5．负责对游泳馆水质管理员进行水质养护专业技术培训，及日常工作对接、配合工作；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6．协助卫生主管部门水质检查准备工作；</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7．配合参与其他与游泳馆水质相关的工作。</w:t>
      </w:r>
    </w:p>
    <w:p>
      <w:pPr>
        <w:tabs>
          <w:tab w:val="left" w:pos="0"/>
        </w:tabs>
        <w:spacing w:before="120" w:beforeLines="50" w:line="360" w:lineRule="auto"/>
        <w:ind w:left="-718" w:leftChars="-342" w:right="-82" w:rightChars="-39" w:firstLine="1323" w:firstLineChars="549"/>
        <w:rPr>
          <w:rFonts w:ascii="仿宋_GB2312" w:hAnsi="仿宋_GB2312" w:eastAsia="仿宋_GB2312" w:cs="仿宋_GB2312"/>
          <w:color w:val="000000" w:themeColor="text1"/>
          <w:sz w:val="32"/>
          <w:szCs w:val="32"/>
          <w14:textFill>
            <w14:solidFill>
              <w14:schemeClr w14:val="tx1"/>
            </w14:solidFill>
          </w14:textFill>
        </w:rPr>
      </w:pPr>
      <w:r>
        <w:rPr>
          <w:rFonts w:hint="eastAsia" w:ascii="宋体" w:hAnsi="宋体"/>
          <w:b/>
          <w:bCs/>
          <w:color w:val="000000" w:themeColor="text1"/>
          <w:sz w:val="24"/>
          <w14:textFill>
            <w14:solidFill>
              <w14:schemeClr w14:val="tx1"/>
            </w14:solidFill>
          </w14:textFill>
        </w:rPr>
        <w:t>六、产品的质量及验收标准</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1．中标人向委托人供应的产品,其品种、规格、质量符合国家相关质量标准规范要求。</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2．中标人供应的产品范围内,国家相关质量监督管理等部门或顾客如对中标人所供的产品存有疑义的,中标人负有证明该产品符合国家标准并配合委托人澄清事实妥善处理的义务。</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3．中标人向委托人提供游泳池水质处理所需的所有药剂为合格正品。</w:t>
      </w:r>
    </w:p>
    <w:p>
      <w:pPr>
        <w:spacing w:line="360" w:lineRule="auto"/>
        <w:ind w:firstLine="481"/>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4．中标人承包合肥市体育中心游泳馆训练池、跳水池、比赛池三个泳池</w:t>
      </w:r>
      <w:r>
        <w:rPr>
          <w:rFonts w:hint="eastAsia" w:ascii="宋体" w:hAnsi="宋体"/>
          <w:bCs/>
          <w:color w:val="000000" w:themeColor="text1"/>
          <w:sz w:val="24"/>
          <w:lang w:val="en-US" w:eastAsia="zh-CN"/>
          <w14:textFill>
            <w14:solidFill>
              <w14:schemeClr w14:val="tx1"/>
            </w14:solidFill>
          </w14:textFill>
        </w:rPr>
        <w:t>及天湖全民健身中心泳池</w:t>
      </w:r>
      <w:r>
        <w:rPr>
          <w:rFonts w:hint="eastAsia" w:ascii="宋体" w:hAnsi="宋体"/>
          <w:bCs/>
          <w:color w:val="000000" w:themeColor="text1"/>
          <w:sz w:val="24"/>
          <w14:textFill>
            <w14:solidFill>
              <w14:schemeClr w14:val="tx1"/>
            </w14:solidFill>
          </w14:textFill>
        </w:rPr>
        <w:t>合作期间水质养护用药费用，不得超过中标价，超出部分由中标人自行承担。</w:t>
      </w:r>
    </w:p>
    <w:p>
      <w:pPr>
        <w:spacing w:line="360" w:lineRule="auto"/>
        <w:ind w:firstLine="481"/>
        <w:rPr>
          <w:rFonts w:hint="default" w:ascii="宋体" w:hAnsi="宋体" w:eastAsia="宋体"/>
          <w:bCs/>
          <w:color w:val="000000" w:themeColor="text1"/>
          <w:sz w:val="24"/>
          <w:lang w:val="en-US" w:eastAsia="zh-CN"/>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spacing w:line="360" w:lineRule="auto"/>
        <w:ind w:firstLine="481"/>
        <w:rPr>
          <w:rFonts w:ascii="宋体" w:hAnsi="宋体"/>
          <w:bCs/>
          <w:color w:val="000000" w:themeColor="text1"/>
          <w:sz w:val="24"/>
          <w14:textFill>
            <w14:solidFill>
              <w14:schemeClr w14:val="tx1"/>
            </w14:solidFill>
          </w14:textFill>
        </w:rPr>
      </w:pPr>
    </w:p>
    <w:p>
      <w:pPr>
        <w:pStyle w:val="5"/>
        <w:spacing w:line="500" w:lineRule="exact"/>
        <w:jc w:val="center"/>
        <w:rPr>
          <w:rFonts w:ascii="宋体" w:hAnsi="宋体"/>
          <w:color w:val="000000" w:themeColor="text1"/>
          <w14:textFill>
            <w14:solidFill>
              <w14:schemeClr w14:val="tx1"/>
            </w14:solidFill>
          </w14:textFill>
        </w:rPr>
      </w:pPr>
      <w:bookmarkStart w:id="64" w:name="_Toc7187430"/>
      <w:bookmarkStart w:id="65" w:name="_Toc9997"/>
      <w:r>
        <w:rPr>
          <w:rFonts w:hint="eastAsia" w:ascii="宋体" w:hAnsi="宋体"/>
          <w:color w:val="000000" w:themeColor="text1"/>
          <w14:textFill>
            <w14:solidFill>
              <w14:schemeClr w14:val="tx1"/>
            </w14:solidFill>
          </w14:textFill>
        </w:rPr>
        <w:t>第五章 评标办法</w:t>
      </w:r>
      <w:bookmarkEnd w:id="24"/>
      <w:bookmarkEnd w:id="64"/>
      <w:bookmarkEnd w:id="65"/>
    </w:p>
    <w:p>
      <w:pPr>
        <w:adjustRightInd w:val="0"/>
        <w:snapToGrid w:val="0"/>
        <w:spacing w:line="360" w:lineRule="auto"/>
        <w:ind w:left="420" w:leftChars="200" w:right="-10"/>
        <w:rPr>
          <w:rFonts w:ascii="宋体" w:hAnsi="宋体"/>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为做好合肥体育中心游泳馆及天鹅湖全民健身中心游泳馆</w:t>
      </w:r>
      <w:r>
        <w:rPr>
          <w:rFonts w:hint="eastAsia" w:ascii="宋体" w:hAnsi="宋体"/>
          <w:color w:val="000000" w:themeColor="text1"/>
          <w:sz w:val="24"/>
          <w:lang w:eastAsia="zh-CN"/>
          <w14:textFill>
            <w14:solidFill>
              <w14:schemeClr w14:val="tx1"/>
            </w14:solidFill>
          </w14:textFill>
        </w:rPr>
        <w:t>202</w:t>
      </w:r>
      <w:r>
        <w:rPr>
          <w:rFonts w:hint="eastAsia" w:ascii="宋体" w:hAnsi="宋体"/>
          <w:color w:val="000000" w:themeColor="text1"/>
          <w:sz w:val="24"/>
          <w:lang w:val="en-US" w:eastAsia="zh-CN"/>
          <w14:textFill>
            <w14:solidFill>
              <w14:schemeClr w14:val="tx1"/>
            </w14:solidFill>
          </w14:textFill>
        </w:rPr>
        <w:t>3</w:t>
      </w:r>
      <w:r>
        <w:rPr>
          <w:rFonts w:hint="eastAsia" w:ascii="宋体" w:hAnsi="宋体"/>
          <w:color w:val="000000" w:themeColor="text1"/>
          <w:sz w:val="24"/>
          <w14:textFill>
            <w14:solidFill>
              <w14:schemeClr w14:val="tx1"/>
            </w14:solidFill>
          </w14:textFill>
        </w:rPr>
        <w:t>年度水处理药剂及水质养护服务项目招标</w:t>
      </w:r>
      <w:r>
        <w:rPr>
          <w:rFonts w:hint="eastAsia" w:ascii="宋体" w:hAnsi="宋体"/>
          <w:color w:val="auto"/>
          <w:sz w:val="24"/>
          <w:highlight w:val="none"/>
        </w:rPr>
        <w:t>（项目编号：</w:t>
      </w:r>
      <w:r>
        <w:rPr>
          <w:rFonts w:hint="eastAsia" w:ascii="宋体" w:hAnsi="宋体"/>
          <w:color w:val="000000" w:themeColor="text1"/>
          <w:sz w:val="24"/>
          <w:szCs w:val="18"/>
          <w14:textFill>
            <w14:solidFill>
              <w14:schemeClr w14:val="tx1"/>
            </w14:solidFill>
          </w14:textFill>
        </w:rPr>
        <w:t>2023TYGSCG08</w:t>
      </w:r>
      <w:r>
        <w:rPr>
          <w:rFonts w:hint="eastAsia" w:ascii="宋体" w:hAnsi="宋体"/>
          <w:color w:val="auto"/>
          <w:sz w:val="24"/>
          <w:highlight w:val="none"/>
        </w:rPr>
        <w:t>）</w:t>
      </w:r>
      <w:r>
        <w:rPr>
          <w:rFonts w:hint="eastAsia"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14:textFill>
            <w14:solidFill>
              <w14:schemeClr w14:val="tx1"/>
            </w14:solidFill>
          </w14:textFill>
        </w:rPr>
        <w:t>招标评标工作，保证项目评审工作的正常有序进行，维护招标人、投标人的合法权益，依据《中华人民共和国招标投标法》、《中华人民共和国招标投标法实施条例》及其它相关法律法规，本着公开、公平、公正的原则，制定评标办法。</w:t>
      </w:r>
    </w:p>
    <w:p>
      <w:pPr>
        <w:adjustRightInd w:val="0"/>
        <w:snapToGrid w:val="0"/>
        <w:spacing w:line="360" w:lineRule="auto"/>
        <w:ind w:right="-10" w:firstLine="422" w:firstLineChars="175"/>
        <w:rPr>
          <w:rFonts w:ascii="宋体" w:hAnsi="宋体"/>
          <w:color w:val="auto"/>
          <w:sz w:val="24"/>
          <w:szCs w:val="24"/>
        </w:rPr>
      </w:pPr>
      <w:bookmarkStart w:id="66" w:name="_Toc220232391"/>
      <w:r>
        <w:rPr>
          <w:rFonts w:hint="eastAsia" w:ascii="宋体" w:hAnsi="宋体"/>
          <w:b/>
          <w:bCs/>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本次项目评标采用</w:t>
      </w:r>
      <w:r>
        <w:rPr>
          <w:rFonts w:hint="eastAsia" w:ascii="宋体" w:hAnsi="宋体"/>
          <w:color w:val="000000" w:themeColor="text1"/>
          <w:sz w:val="24"/>
          <w:u w:val="single"/>
          <w14:textFill>
            <w14:solidFill>
              <w14:schemeClr w14:val="tx1"/>
            </w14:solidFill>
          </w14:textFill>
        </w:rPr>
        <w:t>有效最低价法</w:t>
      </w:r>
      <w:r>
        <w:rPr>
          <w:rFonts w:hint="eastAsia" w:ascii="宋体" w:hAnsi="宋体"/>
          <w:color w:val="000000" w:themeColor="text1"/>
          <w:sz w:val="24"/>
          <w:szCs w:val="24"/>
          <w14:textFill>
            <w14:solidFill>
              <w14:schemeClr w14:val="tx1"/>
            </w14:solidFill>
          </w14:textFill>
        </w:rPr>
        <w:t>作为对投标人标书的比较方法。</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本项目将依法组建不少于</w:t>
      </w:r>
      <w:r>
        <w:rPr>
          <w:rFonts w:hint="eastAsia" w:ascii="宋体" w:hAnsi="宋体"/>
          <w:b/>
          <w:color w:val="000000" w:themeColor="text1"/>
          <w:sz w:val="24"/>
          <w:szCs w:val="24"/>
          <w:u w:val="single"/>
          <w:lang w:val="en-US" w:eastAsia="zh-CN"/>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人的评标委员会，负责本项目的评标工作。</w:t>
      </w:r>
    </w:p>
    <w:p>
      <w:pPr>
        <w:adjustRightInd w:val="0"/>
        <w:snapToGrid w:val="0"/>
        <w:spacing w:line="360" w:lineRule="auto"/>
        <w:ind w:left="-61" w:leftChars="-29"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评标委员会按照“客观公正，实事求是”的原则，评价参加本次招标的投标人所提供的产品或服务价格、性能、质量、服务及对招标文件的符合性及响应性。</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有效投标应符合以下原则：</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5.1满足招标文件的实质性要求；</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5.2无重大偏离、保留或招标人不能接受的附加条件；</w:t>
      </w:r>
    </w:p>
    <w:p>
      <w:pPr>
        <w:spacing w:line="360" w:lineRule="auto"/>
        <w:ind w:left="480" w:right="-1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5.3通过初审；</w:t>
      </w:r>
    </w:p>
    <w:p>
      <w:pPr>
        <w:adjustRightInd w:val="0"/>
        <w:snapToGrid w:val="0"/>
        <w:spacing w:line="360" w:lineRule="auto"/>
        <w:ind w:right="-1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5.4评标委员会依据招标文件认定的其他原则。</w:t>
      </w:r>
    </w:p>
    <w:p>
      <w:pPr>
        <w:adjustRightInd w:val="0"/>
        <w:snapToGrid w:val="0"/>
        <w:spacing w:line="360" w:lineRule="auto"/>
        <w:ind w:right="-10" w:firstLine="482" w:firstLineChars="200"/>
        <w:rPr>
          <w:rFonts w:ascii="宋体" w:hAnsi="宋体" w:cs="宋体-18030"/>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6.</w:t>
      </w:r>
      <w:r>
        <w:rPr>
          <w:rFonts w:hint="eastAsia" w:ascii="宋体" w:hAnsi="宋体" w:cs="宋体-18030"/>
          <w:color w:val="000000" w:themeColor="text1"/>
          <w:sz w:val="24"/>
          <w:szCs w:val="24"/>
          <w14:textFill>
            <w14:solidFill>
              <w14:schemeClr w14:val="tx1"/>
            </w14:solidFill>
          </w14:textFill>
        </w:rPr>
        <w:t>评标委员会遵循公开、公平、公正和科学诚信的原则，对所有投标文件均采用相同程序和标准，进行评定。</w:t>
      </w:r>
    </w:p>
    <w:p>
      <w:pPr>
        <w:adjustRightInd w:val="0"/>
        <w:snapToGrid w:val="0"/>
        <w:spacing w:line="360" w:lineRule="auto"/>
        <w:ind w:right="-10" w:firstLine="422" w:firstLineChars="175"/>
        <w:rPr>
          <w:rFonts w:ascii="宋体" w:hAnsi="宋体"/>
          <w:color w:val="000000" w:themeColor="text1"/>
          <w:sz w:val="24"/>
          <w:szCs w:val="24"/>
          <w14:textFill>
            <w14:solidFill>
              <w14:schemeClr w14:val="tx1"/>
            </w14:solidFill>
          </w14:textFill>
        </w:rPr>
      </w:pPr>
      <w:r>
        <w:rPr>
          <w:rFonts w:hint="eastAsia" w:ascii="宋体" w:hAnsi="宋体" w:cs="宋体-18030"/>
          <w:b/>
          <w:color w:val="000000" w:themeColor="text1"/>
          <w:sz w:val="24"/>
          <w:szCs w:val="24"/>
          <w14:textFill>
            <w14:solidFill>
              <w14:schemeClr w14:val="tx1"/>
            </w14:solidFill>
          </w14:textFill>
        </w:rPr>
        <w:t>7.</w:t>
      </w:r>
      <w:r>
        <w:rPr>
          <w:rFonts w:hint="eastAsia" w:ascii="宋体" w:hAnsi="宋体"/>
          <w:color w:val="000000" w:themeColor="text1"/>
          <w:sz w:val="24"/>
          <w:szCs w:val="24"/>
          <w14:textFill>
            <w14:solidFill>
              <w14:schemeClr w14:val="tx1"/>
            </w14:solidFill>
          </w14:textFill>
        </w:rPr>
        <w:t xml:space="preserve"> 评标委员会发现投标人的投标文件中对同类问题表述不一致、前后矛盾、有明显文字和计算错误的内容、有可能不符合招标文件规定等情况需要澄清时，评标委员会将以询标的方式告知并要求投标人以书面方式进行必要的澄清、说明或补正。</w:t>
      </w:r>
    </w:p>
    <w:p>
      <w:pPr>
        <w:adjustRightInd w:val="0"/>
        <w:snapToGrid w:val="0"/>
        <w:spacing w:line="360" w:lineRule="auto"/>
        <w:ind w:right="-10" w:firstLine="420" w:firstLineChars="175"/>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对于询标后判定的结论（如通过或不通过），评标委员会应提出充足的理由，根据招标文件给定的评审指标进行判定，并予以书面记录。</w:t>
      </w:r>
    </w:p>
    <w:p>
      <w:pPr>
        <w:adjustRightInd w:val="0"/>
        <w:snapToGrid w:val="0"/>
        <w:spacing w:line="360" w:lineRule="auto"/>
        <w:ind w:right="-10" w:firstLine="480" w:firstLineChars="20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评标委员会独立评审后，对投标人某项评审指标如有不同意见，按照少数服从多数的原则，确定该项评审指标的最终结论。</w:t>
      </w:r>
    </w:p>
    <w:p>
      <w:pPr>
        <w:adjustRightInd w:val="0"/>
        <w:snapToGrid w:val="0"/>
        <w:spacing w:line="500" w:lineRule="exact"/>
        <w:ind w:right="-1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 评标委员会按下表内容进行投标有效性评审。</w:t>
      </w: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tbl>
      <w:tblPr>
        <w:tblStyle w:val="50"/>
        <w:tblW w:w="1049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7"/>
        <w:gridCol w:w="2835"/>
        <w:gridCol w:w="1275"/>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0490" w:type="dxa"/>
            <w:gridSpan w:val="5"/>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color w:val="000000" w:themeColor="text1"/>
                <w:kern w:val="2"/>
                <w:szCs w:val="24"/>
                <w14:textFill>
                  <w14:solidFill>
                    <w14:schemeClr w14:val="tx1"/>
                  </w14:solidFill>
                </w14:textFill>
              </w:rPr>
            </w:pPr>
            <w:r>
              <w:rPr>
                <w:rFonts w:hint="eastAsia" w:ascii="宋体" w:hAnsi="宋体"/>
                <w:b/>
                <w:color w:val="000000" w:themeColor="text1"/>
                <w14:textFill>
                  <w14:solidFill>
                    <w14:schemeClr w14:val="tx1"/>
                  </w14:solidFill>
                </w14:textFill>
              </w:rPr>
              <w:t>评审表（废标指标一览表）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序号</w:t>
            </w:r>
          </w:p>
        </w:tc>
        <w:tc>
          <w:tcPr>
            <w:tcW w:w="2127" w:type="dxa"/>
            <w:tcBorders>
              <w:bottom w:val="single" w:color="auto" w:sz="4" w:space="0"/>
            </w:tcBorders>
            <w:vAlign w:val="center"/>
          </w:tcPr>
          <w:p>
            <w:pPr>
              <w:pStyle w:val="66"/>
              <w:pBdr>
                <w:bottom w:val="none" w:color="auto" w:sz="0" w:space="0"/>
              </w:pBdr>
              <w:tabs>
                <w:tab w:val="clear" w:pos="4153"/>
                <w:tab w:val="clear" w:pos="8306"/>
              </w:tabs>
              <w:snapToGrid w:val="0"/>
              <w:spacing w:line="360" w:lineRule="auto"/>
              <w:ind w:right="-10"/>
              <w:jc w:val="center"/>
              <w:textAlignment w:val="auto"/>
              <w:rPr>
                <w:rFonts w:ascii="宋体" w:hAnsi="宋体"/>
                <w:b/>
                <w:color w:val="000000" w:themeColor="text1"/>
                <w:kern w:val="2"/>
                <w:szCs w:val="24"/>
                <w14:textFill>
                  <w14:solidFill>
                    <w14:schemeClr w14:val="tx1"/>
                  </w14:solidFill>
                </w14:textFill>
              </w:rPr>
            </w:pPr>
            <w:r>
              <w:rPr>
                <w:rFonts w:hint="eastAsia" w:ascii="宋体" w:hAnsi="宋体"/>
                <w:b/>
                <w:color w:val="000000" w:themeColor="text1"/>
                <w:kern w:val="2"/>
                <w:szCs w:val="24"/>
                <w14:textFill>
                  <w14:solidFill>
                    <w14:schemeClr w14:val="tx1"/>
                  </w14:solidFill>
                </w14:textFill>
              </w:rPr>
              <w:t>实质性指标名称</w:t>
            </w:r>
          </w:p>
        </w:tc>
        <w:tc>
          <w:tcPr>
            <w:tcW w:w="283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指标要求</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是否通过</w:t>
            </w: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响应文件格式及提交资料要求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1</w:t>
            </w:r>
          </w:p>
        </w:tc>
        <w:tc>
          <w:tcPr>
            <w:tcW w:w="2127"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投标人名称</w:t>
            </w:r>
          </w:p>
        </w:tc>
        <w:tc>
          <w:tcPr>
            <w:tcW w:w="2835" w:type="dxa"/>
            <w:tcBorders>
              <w:bottom w:val="single" w:color="auto" w:sz="4" w:space="0"/>
            </w:tcBorders>
            <w:vAlign w:val="center"/>
          </w:tcPr>
          <w:p>
            <w:pPr>
              <w:pStyle w:val="113"/>
              <w:spacing w:line="360" w:lineRule="auto"/>
              <w:jc w:val="center"/>
              <w:rPr>
                <w:rFonts w:ascii="宋体" w:hAnsi="宋体" w:eastAsia="宋体"/>
                <w:color w:val="000000" w:themeColor="text1"/>
                <w:kern w:val="2"/>
                <w14:textFill>
                  <w14:solidFill>
                    <w14:schemeClr w14:val="tx1"/>
                  </w14:solidFill>
                </w14:textFill>
              </w:rPr>
            </w:pPr>
            <w:r>
              <w:rPr>
                <w:rFonts w:ascii="宋体" w:hAnsi="宋体" w:eastAsia="宋体"/>
                <w:color w:val="000000" w:themeColor="text1"/>
                <w:kern w:val="2"/>
                <w14:textFill>
                  <w14:solidFill>
                    <w14:schemeClr w14:val="tx1"/>
                  </w14:solidFill>
                </w14:textFill>
              </w:rPr>
              <w:t>与营业执照一致</w:t>
            </w:r>
          </w:p>
        </w:tc>
        <w:tc>
          <w:tcPr>
            <w:tcW w:w="1275"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trPr>
        <w:tc>
          <w:tcPr>
            <w:tcW w:w="709" w:type="dxa"/>
            <w:tcBorders>
              <w:bottom w:val="single" w:color="auto" w:sz="4" w:space="0"/>
            </w:tcBorders>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127"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营业执照或事业单位法人证书</w:t>
            </w:r>
          </w:p>
        </w:tc>
        <w:tc>
          <w:tcPr>
            <w:tcW w:w="2835" w:type="dxa"/>
            <w:tcBorders>
              <w:bottom w:val="single" w:color="auto" w:sz="4" w:space="0"/>
            </w:tcBorders>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合法有效</w:t>
            </w:r>
          </w:p>
        </w:tc>
        <w:tc>
          <w:tcPr>
            <w:tcW w:w="1275"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p>
        </w:tc>
        <w:tc>
          <w:tcPr>
            <w:tcW w:w="3544" w:type="dxa"/>
            <w:tcBorders>
              <w:bottom w:val="single" w:color="auto" w:sz="4" w:space="0"/>
            </w:tcBorders>
            <w:vAlign w:val="center"/>
          </w:tcPr>
          <w:p>
            <w:pPr>
              <w:adjustRightInd w:val="0"/>
              <w:snapToGrid w:val="0"/>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提供有效的营业执照（或事业单位法人证书）的扫描件</w:t>
            </w:r>
            <w:r>
              <w:rPr>
                <w:rFonts w:hint="eastAsia" w:ascii="宋体" w:hAnsi="宋体"/>
                <w:b/>
                <w:bCs/>
                <w:color w:val="000000" w:themeColor="text1"/>
                <w:sz w:val="24"/>
                <w:szCs w:val="24"/>
                <w14:textFill>
                  <w14:solidFill>
                    <w14:schemeClr w14:val="tx1"/>
                  </w14:solidFill>
                </w14:textFill>
              </w:rPr>
              <w:t>，应完整的体现出营业执照</w:t>
            </w:r>
            <w:r>
              <w:rPr>
                <w:rFonts w:hint="eastAsia" w:ascii="宋体" w:hAnsi="宋体"/>
                <w:b/>
                <w:color w:val="000000" w:themeColor="text1"/>
                <w:sz w:val="24"/>
                <w:szCs w:val="24"/>
                <w14:textFill>
                  <w14:solidFill>
                    <w14:schemeClr w14:val="tx1"/>
                  </w14:solidFill>
                </w14:textFill>
              </w:rPr>
              <w:t>（或事业单位法人证书）</w:t>
            </w:r>
            <w:r>
              <w:rPr>
                <w:rFonts w:hint="eastAsia" w:ascii="宋体" w:hAnsi="宋体"/>
                <w:b/>
                <w:bCs/>
                <w:color w:val="000000" w:themeColor="text1"/>
                <w:sz w:val="24"/>
                <w:szCs w:val="24"/>
                <w14:textFill>
                  <w14:solidFill>
                    <w14:schemeClr w14:val="tx1"/>
                  </w14:solidFill>
                </w14:textFill>
              </w:rPr>
              <w:t>的全部内容。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投标函</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投标函中的授权代表须与投标授权书中保持一致，否则投标无效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投标授权书</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详见第七章响应文件格式“投标授权书”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2127"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投标人信用记录证明材料</w:t>
            </w:r>
          </w:p>
        </w:tc>
        <w:tc>
          <w:tcPr>
            <w:tcW w:w="2835" w:type="dxa"/>
            <w:vAlign w:val="center"/>
          </w:tcPr>
          <w:p>
            <w:pPr>
              <w:spacing w:after="50"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14:textFill>
                  <w14:solidFill>
                    <w14:schemeClr w14:val="tx1"/>
                  </w14:solidFill>
                </w14:textFill>
              </w:rPr>
              <w:t>提供信用记录证明材料扫描件，</w:t>
            </w:r>
            <w:r>
              <w:rPr>
                <w:rFonts w:hint="eastAsia" w:ascii="宋体" w:hAnsi="宋体"/>
                <w:color w:val="000000" w:themeColor="text1"/>
                <w:sz w:val="24"/>
                <w:szCs w:val="24"/>
                <w14:textFill>
                  <w14:solidFill>
                    <w14:schemeClr w14:val="tx1"/>
                  </w14:solidFill>
                </w14:textFill>
              </w:rPr>
              <w:t>详见第七章响应文件格式</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投标人信用承诺</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开标一览表</w:t>
            </w:r>
          </w:p>
        </w:tc>
        <w:tc>
          <w:tcPr>
            <w:tcW w:w="2835"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第七章投标文件格式一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投标报价</w:t>
            </w:r>
          </w:p>
        </w:tc>
        <w:tc>
          <w:tcPr>
            <w:tcW w:w="2835" w:type="dxa"/>
            <w:vAlign w:val="center"/>
          </w:tcPr>
          <w:p>
            <w:pPr>
              <w:spacing w:after="50" w:line="360" w:lineRule="auto"/>
              <w:ind w:right="-10"/>
              <w:jc w:val="center"/>
              <w:rPr>
                <w:rFonts w:ascii="宋体" w:hAnsi="宋体"/>
                <w:bCs/>
                <w:color w:val="000000" w:themeColor="text1"/>
                <w:sz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trPr>
        <w:tc>
          <w:tcPr>
            <w:tcW w:w="709"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2127" w:type="dxa"/>
            <w:vAlign w:val="center"/>
          </w:tcPr>
          <w:p>
            <w:pPr>
              <w:autoSpaceDE w:val="0"/>
              <w:autoSpaceDN w:val="0"/>
              <w:adjustRightInd w:val="0"/>
              <w:spacing w:line="430" w:lineRule="exact"/>
              <w:ind w:firstLine="2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投标人资格</w:t>
            </w:r>
          </w:p>
        </w:tc>
        <w:tc>
          <w:tcPr>
            <w:tcW w:w="2835" w:type="dxa"/>
            <w:vAlign w:val="center"/>
          </w:tcPr>
          <w:p>
            <w:pPr>
              <w:spacing w:line="420" w:lineRule="exact"/>
              <w:ind w:right="-11"/>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符合招标文件要求</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详见第一章投标邀请</w:t>
            </w:r>
            <w:r>
              <w:rPr>
                <w:rFonts w:hint="eastAsia" w:ascii="宋体" w:hAnsi="宋体"/>
                <w:color w:val="000000" w:themeColor="text1"/>
                <w:sz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投标人资格</w:t>
            </w:r>
            <w:r>
              <w:rPr>
                <w:rFonts w:hint="eastAsia" w:ascii="宋体" w:hAnsi="宋体"/>
                <w:color w:val="000000" w:themeColor="text1"/>
                <w:sz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9</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标书响应情况</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付款响应、完工期响应、质保期响应等</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8"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0</w:t>
            </w:r>
          </w:p>
        </w:tc>
        <w:tc>
          <w:tcPr>
            <w:tcW w:w="2127" w:type="dxa"/>
            <w:vAlign w:val="center"/>
          </w:tcPr>
          <w:p>
            <w:pPr>
              <w:spacing w:after="50" w:line="360" w:lineRule="auto"/>
              <w:ind w:right="-1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标书规范性</w:t>
            </w:r>
          </w:p>
        </w:tc>
        <w:tc>
          <w:tcPr>
            <w:tcW w:w="2835" w:type="dxa"/>
            <w:vAlign w:val="center"/>
          </w:tcPr>
          <w:p>
            <w:pPr>
              <w:pStyle w:val="66"/>
              <w:pBdr>
                <w:bottom w:val="none" w:color="auto" w:sz="0" w:space="0"/>
              </w:pBdr>
              <w:tabs>
                <w:tab w:val="clear" w:pos="4153"/>
                <w:tab w:val="clear" w:pos="8306"/>
              </w:tabs>
              <w:adjustRightInd/>
              <w:spacing w:after="50" w:line="360" w:lineRule="auto"/>
              <w:ind w:right="-10"/>
              <w:jc w:val="center"/>
              <w:textAlignment w:val="auto"/>
              <w:rPr>
                <w:rFonts w:ascii="宋体" w:hAnsi="宋体"/>
                <w:color w:val="000000" w:themeColor="text1"/>
                <w:kern w:val="2"/>
                <w14:textFill>
                  <w14:solidFill>
                    <w14:schemeClr w14:val="tx1"/>
                  </w14:solidFill>
                </w14:textFill>
              </w:rPr>
            </w:pPr>
            <w:r>
              <w:rPr>
                <w:rFonts w:hint="eastAsia" w:ascii="宋体" w:hAnsi="宋体"/>
                <w:color w:val="000000" w:themeColor="text1"/>
                <w14:textFill>
                  <w14:solidFill>
                    <w14:schemeClr w14:val="tx1"/>
                  </w14:solidFill>
                </w14:textFill>
              </w:rPr>
              <w:t>无严重的编排混乱、内容不全或字迹模糊辨认不清、前后矛盾情况，对评标无实质性影响的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709" w:type="dxa"/>
            <w:vAlign w:val="center"/>
          </w:tcPr>
          <w:p>
            <w:pPr>
              <w:adjustRightInd w:val="0"/>
              <w:snapToGrid w:val="0"/>
              <w:spacing w:line="360" w:lineRule="auto"/>
              <w:ind w:right="-10"/>
              <w:jc w:val="center"/>
              <w:rPr>
                <w:rFonts w:hint="eastAsia" w:ascii="宋体" w:hAnsi="宋体" w:eastAsia="宋体"/>
                <w:color w:val="000000" w:themeColor="text1"/>
                <w:sz w:val="24"/>
                <w:lang w:val="en-US" w:eastAsia="zh-CN"/>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lang w:val="en-US" w:eastAsia="zh-CN"/>
                <w14:textFill>
                  <w14:solidFill>
                    <w14:schemeClr w14:val="tx1"/>
                  </w14:solidFill>
                </w14:textFill>
              </w:rPr>
              <w:t>1</w:t>
            </w:r>
          </w:p>
        </w:tc>
        <w:tc>
          <w:tcPr>
            <w:tcW w:w="2127"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其他要求</w:t>
            </w:r>
          </w:p>
        </w:tc>
        <w:tc>
          <w:tcPr>
            <w:tcW w:w="2835" w:type="dxa"/>
            <w:vAlign w:val="center"/>
          </w:tcPr>
          <w:p>
            <w:pPr>
              <w:spacing w:after="50" w:line="360" w:lineRule="auto"/>
              <w:ind w:right="-10"/>
              <w:jc w:val="center"/>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上述指标中未列出，但国家相关法律法规或谈判文件有明确规定的</w:t>
            </w:r>
          </w:p>
        </w:tc>
        <w:tc>
          <w:tcPr>
            <w:tcW w:w="1275"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c>
          <w:tcPr>
            <w:tcW w:w="3544" w:type="dxa"/>
            <w:vAlign w:val="center"/>
          </w:tcPr>
          <w:p>
            <w:pPr>
              <w:adjustRightInd w:val="0"/>
              <w:snapToGrid w:val="0"/>
              <w:spacing w:line="360" w:lineRule="auto"/>
              <w:ind w:right="-1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490" w:type="dxa"/>
            <w:gridSpan w:val="5"/>
            <w:vAlign w:val="center"/>
          </w:tcPr>
          <w:p>
            <w:pPr>
              <w:spacing w:before="139"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（1）资格审查采用定性方法，符合性评审，所有评审选项必须全部通过方为合格。</w:t>
            </w:r>
          </w:p>
          <w:p>
            <w:pPr>
              <w:adjustRightInd w:val="0"/>
              <w:snapToGrid w:val="0"/>
              <w:spacing w:line="360" w:lineRule="auto"/>
              <w:ind w:right="-1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评标委员会根据表中所列各项指标对投标人是否为有效标进行评审，未列入上表中的指标不得作为废标依据。符合评审指标通过标准的，为有效投标。未通过评审的投标人将不参与技术标、商务标评审。</w:t>
            </w:r>
          </w:p>
          <w:p>
            <w:pPr>
              <w:adjustRightInd w:val="0"/>
              <w:snapToGrid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（2）投标人提供的资料不全、不清楚、超出有效期等情况，将由评审委员会按照对投标人不利的解释去理解，由此产生的一切后果由投标人自行承担。</w:t>
            </w:r>
          </w:p>
          <w:p>
            <w:pPr>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投标人提供的与投标有关的各类证书、证明、文件、资料等的真实性、合法性由投标人负全责。如发现投标人有弄虚作假或提供不实信息以骗取中标的行为，无论在投标有效期内还是在工程实施过程中，一经发现，将被取消其中标资格或终止合同，视为企业不诚信行为。</w:t>
            </w:r>
          </w:p>
        </w:tc>
      </w:tr>
    </w:tbl>
    <w:p>
      <w:pPr>
        <w:adjustRightInd w:val="0"/>
        <w:snapToGrid w:val="0"/>
        <w:spacing w:line="360" w:lineRule="auto"/>
        <w:ind w:right="-10"/>
        <w:rPr>
          <w:rFonts w:ascii="宋体" w:hAnsi="宋体"/>
          <w:bCs/>
          <w:color w:val="000000" w:themeColor="text1"/>
          <w:sz w:val="24"/>
          <w:szCs w:val="24"/>
          <w14:textFill>
            <w14:solidFill>
              <w14:schemeClr w14:val="tx1"/>
            </w14:solidFill>
          </w14:textFill>
        </w:rPr>
      </w:pPr>
    </w:p>
    <w:p>
      <w:pPr>
        <w:spacing w:line="500" w:lineRule="exact"/>
        <w:ind w:left="143" w:leftChars="68" w:firstLine="361" w:firstLineChars="150"/>
        <w:rPr>
          <w:rFonts w:ascii="宋体" w:hAnsi="宋体"/>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9.</w:t>
      </w:r>
      <w:r>
        <w:rPr>
          <w:rFonts w:hint="eastAsia" w:ascii="宋体" w:hAnsi="宋体"/>
          <w:bCs/>
          <w:color w:val="000000" w:themeColor="text1"/>
          <w:sz w:val="24"/>
          <w14:textFill>
            <w14:solidFill>
              <w14:schemeClr w14:val="tx1"/>
            </w14:solidFill>
          </w14:textFill>
        </w:rPr>
        <w:t>价格评审:</w:t>
      </w:r>
      <w:r>
        <w:rPr>
          <w:rFonts w:hint="eastAsia" w:ascii="宋体" w:hAnsi="宋体"/>
          <w:color w:val="000000" w:themeColor="text1"/>
          <w:sz w:val="24"/>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对通过</w:t>
      </w:r>
      <w:r>
        <w:rPr>
          <w:rFonts w:hint="eastAsia" w:ascii="宋体" w:hAnsi="宋体"/>
          <w:color w:val="000000" w:themeColor="text1"/>
          <w:sz w:val="24"/>
          <w14:textFill>
            <w14:solidFill>
              <w14:schemeClr w14:val="tx1"/>
            </w14:solidFill>
          </w14:textFill>
        </w:rPr>
        <w:t>有效性评审</w:t>
      </w:r>
      <w:r>
        <w:rPr>
          <w:rFonts w:hint="eastAsia" w:ascii="宋体" w:hAnsi="宋体"/>
          <w:bCs/>
          <w:color w:val="000000" w:themeColor="text1"/>
          <w:sz w:val="24"/>
          <w14:textFill>
            <w14:solidFill>
              <w14:schemeClr w14:val="tx1"/>
            </w14:solidFill>
          </w14:textFill>
        </w:rPr>
        <w:t>的有效投标人，按其最终报价（评标价）由低到高的顺序选出中标候选人。</w:t>
      </w:r>
    </w:p>
    <w:p>
      <w:pPr>
        <w:spacing w:line="360" w:lineRule="auto"/>
        <w:ind w:right="-10" w:firstLine="482"/>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10.</w:t>
      </w:r>
      <w:r>
        <w:rPr>
          <w:rFonts w:hint="eastAsia" w:ascii="宋体" w:hAnsi="宋体"/>
          <w:color w:val="000000" w:themeColor="text1"/>
          <w:sz w:val="24"/>
          <w:szCs w:val="24"/>
          <w14:textFill>
            <w14:solidFill>
              <w14:schemeClr w14:val="tx1"/>
            </w14:solidFill>
          </w14:textFill>
        </w:rPr>
        <w:t>如果有效投标报价出现两家或两家以上相同者，则采取评标委员会抽签方式确定其前后次序。</w:t>
      </w:r>
    </w:p>
    <w:p>
      <w:pPr>
        <w:adjustRightInd w:val="0"/>
        <w:snapToGrid w:val="0"/>
        <w:spacing w:line="360" w:lineRule="auto"/>
        <w:ind w:right="-10"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11.</w:t>
      </w:r>
      <w:r>
        <w:rPr>
          <w:rFonts w:hint="eastAsia" w:ascii="宋体" w:hAnsi="宋体"/>
          <w:color w:val="000000" w:themeColor="text1"/>
          <w:sz w:val="24"/>
          <w:szCs w:val="24"/>
          <w14:textFill>
            <w14:solidFill>
              <w14:schemeClr w14:val="tx1"/>
            </w14:solidFill>
          </w14:textFill>
        </w:rPr>
        <w:t>评标委员会在评标过程中发现的问题，应当及时作出处理或者向招标人提出处理建议，并作书面记录。</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在评审过程中，评标委员会发现投标人的报价或者某些分项报价可能低于成本或者高于招标文件设定的最高投标限价的，评标委员会将以询标的方式告知并要求投标人以书面方式进行必要的说明或补正，经评标委员会认定其报价低于成本或者高于招标文件设定的最高投标限价的，将否决其投标。对于询标后判定为不符合招标文件的报价，评委要提出充足的否定理由，并予以书面记录。最终对投标人的评审结论分为通过和未通过。</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13.</w:t>
      </w:r>
      <w:r>
        <w:rPr>
          <w:rFonts w:hint="eastAsia" w:ascii="宋体" w:hAnsi="宋体"/>
          <w:color w:val="000000" w:themeColor="text1"/>
          <w:sz w:val="24"/>
          <w:szCs w:val="24"/>
          <w14:textFill>
            <w14:solidFill>
              <w14:schemeClr w14:val="tx1"/>
            </w14:solidFill>
          </w14:textFill>
        </w:rPr>
        <w:t>投标人投标报价与公布的预算价（或控制价)相比降幅过小，或投标人投标报价明显缺乏竞争性的，评标委员会可以否决所有投标。</w:t>
      </w:r>
    </w:p>
    <w:p>
      <w:pPr>
        <w:adjustRightInd w:val="0"/>
        <w:snapToGrid w:val="0"/>
        <w:spacing w:line="360" w:lineRule="auto"/>
        <w:ind w:right="-10" w:firstLine="472" w:firstLineChars="196"/>
        <w:rPr>
          <w:rFonts w:ascii="宋体" w:hAnsi="宋体"/>
          <w:bCs/>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14.</w:t>
      </w:r>
      <w:r>
        <w:rPr>
          <w:rFonts w:hint="eastAsia" w:ascii="宋体" w:hAnsi="宋体"/>
          <w:bCs/>
          <w:color w:val="000000" w:themeColor="text1"/>
          <w:sz w:val="24"/>
          <w:szCs w:val="24"/>
          <w14:textFill>
            <w14:solidFill>
              <w14:schemeClr w14:val="tx1"/>
            </w14:solidFill>
          </w14:textFill>
        </w:rPr>
        <w:t>评标后，评标委员会应写出评标报告并签字。评标报告是评标委员会根据全体评标成员签字的原始评标记录和评标结果编写的报告，评标委员会全体成员及监督员均须在评标报告上签字。评标报告应如实记录本次评标的主要过程，全面反映评标过程中的各种不同的意见，以及其他澄清、说明、补正事项。</w:t>
      </w:r>
    </w:p>
    <w:p>
      <w:pPr>
        <w:adjustRightInd w:val="0"/>
        <w:snapToGrid w:val="0"/>
        <w:spacing w:line="360" w:lineRule="auto"/>
        <w:ind w:right="-10" w:firstLine="482" w:firstLineChars="200"/>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15.</w:t>
      </w:r>
      <w:r>
        <w:rPr>
          <w:rFonts w:hint="eastAsia" w:ascii="宋体" w:hAnsi="宋体"/>
          <w:color w:val="000000" w:themeColor="text1"/>
          <w:sz w:val="24"/>
          <w:szCs w:val="24"/>
          <w14:textFill>
            <w14:solidFill>
              <w14:schemeClr w14:val="tx1"/>
            </w14:solidFill>
          </w14:textFill>
        </w:rPr>
        <w:t xml:space="preserve"> 评标委员会和评标工作人员应严格遵守国家的法律、法规和规章制度；严格按照本次招标文件进行评标；公正廉洁、不徇私情，不得损害国家利益；保护招、投标人的合法权益。</w:t>
      </w:r>
    </w:p>
    <w:p>
      <w:pPr>
        <w:spacing w:line="360" w:lineRule="auto"/>
        <w:ind w:firstLine="482" w:firstLineChars="200"/>
        <w:rPr>
          <w:rFonts w:ascii="宋体" w:hAnsi="宋体"/>
          <w:i/>
          <w:color w:val="000000" w:themeColor="text1"/>
          <w:sz w:val="24"/>
          <w:szCs w:val="24"/>
          <w14:textFill>
            <w14:solidFill>
              <w14:schemeClr w14:val="tx1"/>
            </w14:solidFill>
          </w14:textFill>
        </w:rPr>
      </w:pPr>
      <w:r>
        <w:rPr>
          <w:rFonts w:hint="eastAsia" w:ascii="宋体" w:hAnsi="宋体"/>
          <w:b/>
          <w:bCs/>
          <w:color w:val="000000" w:themeColor="text1"/>
          <w:sz w:val="24"/>
          <w:szCs w:val="24"/>
          <w14:textFill>
            <w14:solidFill>
              <w14:schemeClr w14:val="tx1"/>
            </w14:solidFill>
          </w14:textFill>
        </w:rPr>
        <w:t>16.</w:t>
      </w:r>
      <w:r>
        <w:rPr>
          <w:rFonts w:hint="eastAsia" w:ascii="宋体" w:hAnsi="宋体"/>
          <w:bCs/>
          <w:color w:val="000000" w:themeColor="text1"/>
          <w:sz w:val="24"/>
          <w:szCs w:val="24"/>
          <w14:textFill>
            <w14:solidFill>
              <w14:schemeClr w14:val="tx1"/>
            </w14:solidFill>
          </w14:textFill>
        </w:rPr>
        <w:t>在评标过程中，评委及其他评标工作人员必须对评标情况严格保密，任何人不得将评标情况透露给与投标人有关的单位和个人。</w:t>
      </w:r>
    </w:p>
    <w:p>
      <w:pPr>
        <w:pStyle w:val="21"/>
        <w:spacing w:line="360" w:lineRule="auto"/>
        <w:rPr>
          <w:rFonts w:cs="黑体" w:asciiTheme="minorEastAsia" w:hAnsiTheme="minorEastAsia" w:eastAsiaTheme="minorEastAsia"/>
          <w:b/>
          <w:color w:val="000000" w:themeColor="text1"/>
          <w:sz w:val="24"/>
          <w:szCs w:val="24"/>
          <w14:textFill>
            <w14:solidFill>
              <w14:schemeClr w14:val="tx1"/>
            </w14:solidFill>
          </w14:textFill>
        </w:rPr>
      </w:pPr>
      <w:r>
        <w:rPr>
          <w:rFonts w:hint="eastAsia" w:cs="黑体" w:asciiTheme="minorEastAsia" w:hAnsiTheme="minorEastAsia" w:eastAsiaTheme="minorEastAsia"/>
          <w:b/>
          <w:color w:val="000000" w:themeColor="text1"/>
          <w:sz w:val="24"/>
          <w:szCs w:val="24"/>
          <w14:textFill>
            <w14:solidFill>
              <w14:schemeClr w14:val="tx1"/>
            </w14:solidFill>
          </w14:textFill>
        </w:rPr>
        <w:t>17. 其他</w:t>
      </w:r>
    </w:p>
    <w:p>
      <w:pPr>
        <w:pStyle w:val="83"/>
        <w:spacing w:line="360" w:lineRule="auto"/>
        <w:ind w:firstLine="482" w:firstLineChars="200"/>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bCs/>
          <w:color w:val="000000" w:themeColor="text1"/>
          <w:kern w:val="0"/>
          <w:sz w:val="24"/>
          <w14:textFill>
            <w14:solidFill>
              <w14:schemeClr w14:val="tx1"/>
            </w14:solidFill>
          </w14:textFill>
        </w:rPr>
        <w:t>投标人提供的与投标有关的各类证书、证明、文件、资料等的真实性、合法性由投标人负全责。如发现投标人有弄虚作假或提供不实信息的行为，无论在投标有效期内还是在工程实施过程中，一经发现，将被取消其中标资格或终止合同，视为企业不诚信行为。合肥文旅博览集团将按相关规定予以处罚并记入不良行为记录，予以披露</w:t>
      </w:r>
      <w:r>
        <w:rPr>
          <w:rFonts w:hint="eastAsia" w:asciiTheme="minorEastAsia" w:hAnsiTheme="minorEastAsia" w:eastAsiaTheme="minorEastAsia"/>
          <w:b/>
          <w:color w:val="000000" w:themeColor="text1"/>
          <w:sz w:val="24"/>
          <w14:textFill>
            <w14:solidFill>
              <w14:schemeClr w14:val="tx1"/>
            </w14:solidFill>
          </w14:textFill>
        </w:rPr>
        <w:t>。</w:t>
      </w:r>
    </w:p>
    <w:p>
      <w:pPr>
        <w:spacing w:line="360" w:lineRule="auto"/>
        <w:ind w:firstLine="480" w:firstLineChars="200"/>
        <w:rPr>
          <w:rFonts w:ascii="宋体" w:hAnsi="宋体"/>
          <w:bCs/>
          <w:color w:val="000000" w:themeColor="text1"/>
          <w:sz w:val="24"/>
          <w:szCs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spacing w:line="360" w:lineRule="auto"/>
        <w:ind w:firstLine="480" w:firstLineChars="200"/>
        <w:rPr>
          <w:rFonts w:ascii="宋体" w:hAnsi="宋体"/>
          <w:bCs/>
          <w:color w:val="000000" w:themeColor="text1"/>
          <w:sz w:val="24"/>
          <w14:textFill>
            <w14:solidFill>
              <w14:schemeClr w14:val="tx1"/>
            </w14:solidFill>
          </w14:textFill>
        </w:rPr>
      </w:pPr>
    </w:p>
    <w:p>
      <w:pPr>
        <w:pStyle w:val="58"/>
        <w:rPr>
          <w:rFonts w:ascii="宋体" w:hAnsi="宋体"/>
          <w:bCs/>
          <w:color w:val="000000" w:themeColor="text1"/>
          <w:sz w:val="24"/>
          <w14:textFill>
            <w14:solidFill>
              <w14:schemeClr w14:val="tx1"/>
            </w14:solidFill>
          </w14:textFill>
        </w:rPr>
      </w:pPr>
    </w:p>
    <w:bookmarkEnd w:id="66"/>
    <w:p>
      <w:pPr>
        <w:pStyle w:val="2"/>
        <w:ind w:left="0" w:leftChars="0" w:firstLine="0" w:firstLineChars="0"/>
        <w:rPr>
          <w:rFonts w:ascii="宋体" w:hAnsi="宋体"/>
          <w:color w:val="000000" w:themeColor="text1"/>
          <w14:textFill>
            <w14:solidFill>
              <w14:schemeClr w14:val="tx1"/>
            </w14:solidFill>
          </w14:textFill>
        </w:rPr>
      </w:pPr>
    </w:p>
    <w:p>
      <w:pPr>
        <w:pStyle w:val="2"/>
        <w:rPr>
          <w:rFonts w:ascii="宋体" w:hAnsi="宋体"/>
          <w:color w:val="000000" w:themeColor="text1"/>
          <w14:textFill>
            <w14:solidFill>
              <w14:schemeClr w14:val="tx1"/>
            </w14:solidFill>
          </w14:textFill>
        </w:rPr>
      </w:pPr>
    </w:p>
    <w:p>
      <w:pPr>
        <w:pStyle w:val="2"/>
        <w:rPr>
          <w:rFonts w:ascii="宋体" w:hAnsi="宋体"/>
          <w:color w:val="000000" w:themeColor="text1"/>
          <w14:textFill>
            <w14:solidFill>
              <w14:schemeClr w14:val="tx1"/>
            </w14:solidFill>
          </w14:textFill>
        </w:rPr>
      </w:pPr>
    </w:p>
    <w:p>
      <w:pPr>
        <w:pStyle w:val="2"/>
        <w:rPr>
          <w:rFonts w:ascii="宋体" w:hAnsi="宋体"/>
          <w:color w:val="000000" w:themeColor="text1"/>
          <w14:textFill>
            <w14:solidFill>
              <w14:schemeClr w14:val="tx1"/>
            </w14:solidFill>
          </w14:textFill>
        </w:rPr>
      </w:pPr>
    </w:p>
    <w:p>
      <w:pPr>
        <w:pStyle w:val="2"/>
        <w:rPr>
          <w:rFonts w:ascii="宋体" w:hAnsi="宋体"/>
          <w:color w:val="000000" w:themeColor="text1"/>
          <w14:textFill>
            <w14:solidFill>
              <w14:schemeClr w14:val="tx1"/>
            </w14:solidFill>
          </w14:textFill>
        </w:rPr>
      </w:pPr>
    </w:p>
    <w:p>
      <w:pPr>
        <w:pStyle w:val="5"/>
        <w:numPr>
          <w:ilvl w:val="0"/>
          <w:numId w:val="8"/>
        </w:numPr>
        <w:spacing w:line="500" w:lineRule="exact"/>
        <w:jc w:val="center"/>
        <w:rPr>
          <w:rFonts w:ascii="宋体" w:hAnsi="宋体"/>
          <w:color w:val="000000" w:themeColor="text1"/>
          <w14:textFill>
            <w14:solidFill>
              <w14:schemeClr w14:val="tx1"/>
            </w14:solidFill>
          </w14:textFill>
        </w:rPr>
      </w:pPr>
      <w:bookmarkStart w:id="67" w:name="_Toc5990"/>
      <w:bookmarkStart w:id="68" w:name="_Toc220232392"/>
      <w:r>
        <w:rPr>
          <w:rFonts w:ascii="宋体" w:hAnsi="宋体"/>
          <w:color w:val="000000" w:themeColor="text1"/>
          <w14:textFill>
            <w14:solidFill>
              <w14:schemeClr w14:val="tx1"/>
            </w14:solidFill>
          </w14:textFill>
        </w:rPr>
        <w:t>合同</w:t>
      </w:r>
      <w:bookmarkEnd w:id="67"/>
      <w:bookmarkEnd w:id="68"/>
    </w:p>
    <w:p>
      <w:pPr>
        <w:rPr>
          <w:color w:val="000000" w:themeColor="text1"/>
          <w14:textFill>
            <w14:solidFill>
              <w14:schemeClr w14:val="tx1"/>
            </w14:solidFill>
          </w14:textFill>
        </w:rPr>
      </w:pPr>
    </w:p>
    <w:p>
      <w:pPr>
        <w:spacing w:line="490" w:lineRule="exact"/>
        <w:ind w:firstLine="480" w:firstLineChars="200"/>
        <w:jc w:val="center"/>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游泳池药剂承包合同</w:t>
      </w:r>
    </w:p>
    <w:p>
      <w:pPr>
        <w:spacing w:line="490" w:lineRule="exact"/>
        <w:ind w:firstLine="480" w:firstLineChars="200"/>
        <w:jc w:val="righ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合同编号：HFTYCY--****-**</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甲方：                         （以下简称甲方）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                         （以下简称乙方）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根据《中华人民共和国</w:t>
      </w:r>
      <w:r>
        <w:rPr>
          <w:rFonts w:hint="eastAsia" w:ascii="宋体" w:hAnsi="宋体"/>
          <w:bCs/>
          <w:color w:val="000000" w:themeColor="text1"/>
          <w:sz w:val="24"/>
          <w:lang w:val="en-US" w:eastAsia="zh-CN"/>
          <w14:textFill>
            <w14:solidFill>
              <w14:schemeClr w14:val="tx1"/>
            </w14:solidFill>
          </w14:textFill>
        </w:rPr>
        <w:t>民法典</w:t>
      </w:r>
      <w:r>
        <w:rPr>
          <w:rFonts w:hint="eastAsia" w:ascii="宋体" w:hAnsi="宋体"/>
          <w:bCs/>
          <w:color w:val="000000" w:themeColor="text1"/>
          <w:sz w:val="24"/>
          <w14:textFill>
            <w14:solidFill>
              <w14:schemeClr w14:val="tx1"/>
            </w14:solidFill>
          </w14:textFill>
        </w:rPr>
        <w:t>》及其他有关法律、行政法规，遵循平等、自愿、公平和诚实信用的原则，双方经协商，就【合肥体育中心游泳池药剂和天鹅湖全民健身中心游泳馆】采购事项协商一致，订立本合同。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一、服务内容：</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ascii="宋体" w:hAnsi="宋体"/>
          <w:bCs/>
          <w:color w:val="000000" w:themeColor="text1"/>
          <w:sz w:val="24"/>
          <w14:textFill>
            <w14:solidFill>
              <w14:schemeClr w14:val="tx1"/>
            </w14:solidFill>
          </w14:textFill>
        </w:rPr>
        <w:t>1</w:t>
      </w:r>
      <w:r>
        <w:rPr>
          <w:rFonts w:hint="eastAsia" w:ascii="宋体" w:hAnsi="宋体"/>
          <w:bCs/>
          <w:color w:val="000000" w:themeColor="text1"/>
          <w:sz w:val="24"/>
          <w14:textFill>
            <w14:solidFill>
              <w14:schemeClr w14:val="tx1"/>
            </w14:solidFill>
          </w14:textFill>
        </w:rPr>
        <w:t>、</w:t>
      </w: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提供对合肥体育中心游泳馆【训练池1650m³、竞赛池3750m³、跳水池3</w:t>
      </w:r>
      <w:r>
        <w:rPr>
          <w:rFonts w:hint="eastAsia" w:ascii="宋体" w:hAnsi="宋体" w:cs="宋体"/>
          <w:color w:val="000000" w:themeColor="text1"/>
          <w:kern w:val="2"/>
          <w:sz w:val="24"/>
          <w:szCs w:val="24"/>
          <w:lang w:val="en-US" w:eastAsia="zh-CN" w:bidi="ar-SA"/>
          <w14:textFill>
            <w14:solidFill>
              <w14:schemeClr w14:val="tx1"/>
            </w14:solidFill>
          </w14:textFill>
        </w:rPr>
        <w:t>1</w:t>
      </w:r>
      <w:bookmarkStart w:id="153" w:name="_GoBack"/>
      <w:bookmarkEnd w:id="153"/>
      <w:r>
        <w:rPr>
          <w:rFonts w:hint="eastAsia" w:ascii="宋体" w:hAnsi="宋体" w:eastAsia="宋体" w:cs="宋体"/>
          <w:color w:val="000000" w:themeColor="text1"/>
          <w:kern w:val="2"/>
          <w:sz w:val="24"/>
          <w:szCs w:val="24"/>
          <w:lang w:val="en-US" w:eastAsia="zh-CN" w:bidi="ar-SA"/>
          <w14:textFill>
            <w14:solidFill>
              <w14:schemeClr w14:val="tx1"/>
            </w14:solidFill>
          </w14:textFill>
        </w:rPr>
        <w:t>50m³（泳池实际容量以现场勘测为准，其中竞赛池或跳水池每年开放时间一般不超过3个月）】和天鹅湖全民健身中心游泳馆（训练池、戏水池）2023年度的水处理药剂、水质养护服务、自动投药设备的维护（水处理药剂主要包括不限于二水二氯、杀菌剂、澄清剂、除藻剂、中和剂、PH升高剂、PH降低剂、三氯速溶片等）。</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2、提供每次供货清单，并由专人签字确认保管。</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3、专人服务，定期提供游泳馆水质检测分析工作报告（一周一次），并对水质不合格情况当天进行整改；</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4、负责游泳馆自动投药设备维护、维修及水质相关问题的处理工作，提供有效处理方案；</w:t>
      </w:r>
    </w:p>
    <w:p>
      <w:pPr>
        <w:keepNext w:val="0"/>
        <w:keepLines w:val="0"/>
        <w:pageBreakBefore w:val="0"/>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5、协助卫生主管部门对游泳馆水质检查准备工作，并承担因水质处理不达标的行政处罚责任；</w:t>
      </w:r>
    </w:p>
    <w:p>
      <w:pPr>
        <w:pStyle w:val="58"/>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6、配合参与其它与游泳馆水质相关的工作。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二、合同价款：体育场场馆内三个室内泳池药剂费用为不超过人民币：大写（           ）小写（          ）元(其中训练池为常年开放，跳水池、比赛池仅夏季开放，闭馆后无需对水质养护达到可游泳的标准）。本合同价一次性包死，固定不变，不因包括市场价格涨落、履行期调整等任何因素而调整。合同单价为乙方按照合同约定履行自身全部义务的费用，包括但不限于材料费、人工费、运费、包装费、安装调试费、利润、税费等乙方为履行本合同项下全部义务所需的所有费用。除此之外，甲方无需就本合同项下服务向乙方或第三方支付任何其他费用，若因客观原因导致甲方药剂需求量减少，乙应当根据自身用药量的减少所对应的有关费用，核减甲方应当支付的费用。</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二、服务期限：</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本合同有效期为 12个月；自 </w:t>
      </w:r>
      <w:r>
        <w:rPr>
          <w:rFonts w:hint="eastAsia" w:ascii="宋体" w:hAnsi="宋体"/>
          <w:bCs/>
          <w:color w:val="000000" w:themeColor="text1"/>
          <w:sz w:val="24"/>
          <w:lang w:eastAsia="zh-CN"/>
          <w14:textFill>
            <w14:solidFill>
              <w14:schemeClr w14:val="tx1"/>
            </w14:solidFill>
          </w14:textFill>
        </w:rPr>
        <w:t>202</w:t>
      </w:r>
      <w:r>
        <w:rPr>
          <w:rFonts w:hint="eastAsia" w:ascii="宋体" w:hAnsi="宋体"/>
          <w:bCs/>
          <w:color w:val="000000" w:themeColor="text1"/>
          <w:sz w:val="24"/>
          <w:lang w:val="en-US" w:eastAsia="zh-CN"/>
          <w14:textFill>
            <w14:solidFill>
              <w14:schemeClr w14:val="tx1"/>
            </w14:solidFill>
          </w14:textFill>
        </w:rPr>
        <w:t>3</w:t>
      </w:r>
      <w:r>
        <w:rPr>
          <w:rFonts w:hint="eastAsia" w:ascii="宋体" w:hAnsi="宋体"/>
          <w:bCs/>
          <w:color w:val="000000" w:themeColor="text1"/>
          <w:sz w:val="24"/>
          <w14:textFill>
            <w14:solidFill>
              <w14:schemeClr w14:val="tx1"/>
            </w14:solidFill>
          </w14:textFill>
        </w:rPr>
        <w:t>年</w:t>
      </w:r>
      <w:r>
        <w:rPr>
          <w:rFonts w:hint="eastAsia" w:ascii="宋体" w:hAnsi="宋体"/>
          <w:bCs/>
          <w:color w:val="000000" w:themeColor="text1"/>
          <w:sz w:val="24"/>
          <w:lang w:val="en-US" w:eastAsia="zh-CN"/>
          <w14:textFill>
            <w14:solidFill>
              <w14:schemeClr w14:val="tx1"/>
            </w14:solidFill>
          </w14:textFill>
        </w:rPr>
        <w:t>4</w:t>
      </w:r>
      <w:r>
        <w:rPr>
          <w:rFonts w:hint="eastAsia" w:ascii="宋体" w:hAnsi="宋体"/>
          <w:bCs/>
          <w:color w:val="000000" w:themeColor="text1"/>
          <w:sz w:val="24"/>
          <w14:textFill>
            <w14:solidFill>
              <w14:schemeClr w14:val="tx1"/>
            </w14:solidFill>
          </w14:textFill>
        </w:rPr>
        <w:t xml:space="preserve">月 1 日起，至 </w:t>
      </w:r>
      <w:r>
        <w:rPr>
          <w:rFonts w:hint="eastAsia" w:ascii="宋体" w:hAnsi="宋体"/>
          <w:bCs/>
          <w:color w:val="000000" w:themeColor="text1"/>
          <w:sz w:val="24"/>
          <w:lang w:eastAsia="zh-CN"/>
          <w14:textFill>
            <w14:solidFill>
              <w14:schemeClr w14:val="tx1"/>
            </w14:solidFill>
          </w14:textFill>
        </w:rPr>
        <w:t>202</w:t>
      </w:r>
      <w:r>
        <w:rPr>
          <w:rFonts w:hint="eastAsia" w:ascii="宋体" w:hAnsi="宋体"/>
          <w:bCs/>
          <w:color w:val="000000" w:themeColor="text1"/>
          <w:sz w:val="24"/>
          <w:lang w:val="en-US" w:eastAsia="zh-CN"/>
          <w14:textFill>
            <w14:solidFill>
              <w14:schemeClr w14:val="tx1"/>
            </w14:solidFill>
          </w14:textFill>
        </w:rPr>
        <w:t>4</w:t>
      </w:r>
      <w:r>
        <w:rPr>
          <w:rFonts w:hint="eastAsia" w:ascii="宋体" w:hAnsi="宋体"/>
          <w:bCs/>
          <w:color w:val="000000" w:themeColor="text1"/>
          <w:sz w:val="24"/>
          <w14:textFill>
            <w14:solidFill>
              <w14:schemeClr w14:val="tx1"/>
            </w14:solidFill>
          </w14:textFill>
        </w:rPr>
        <w:t>年</w:t>
      </w:r>
      <w:r>
        <w:rPr>
          <w:rFonts w:hint="eastAsia" w:ascii="宋体" w:hAnsi="宋体"/>
          <w:bCs/>
          <w:color w:val="000000" w:themeColor="text1"/>
          <w:sz w:val="24"/>
          <w:lang w:val="en-US" w:eastAsia="zh-CN"/>
          <w14:textFill>
            <w14:solidFill>
              <w14:schemeClr w14:val="tx1"/>
            </w14:solidFill>
          </w14:textFill>
        </w:rPr>
        <w:t>3</w:t>
      </w:r>
      <w:r>
        <w:rPr>
          <w:rFonts w:hint="eastAsia" w:ascii="宋体" w:hAnsi="宋体"/>
          <w:bCs/>
          <w:color w:val="000000" w:themeColor="text1"/>
          <w:sz w:val="24"/>
          <w14:textFill>
            <w14:solidFill>
              <w14:schemeClr w14:val="tx1"/>
            </w14:solidFill>
          </w14:textFill>
        </w:rPr>
        <w:t>月31日止。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三、付款方式：</w:t>
      </w:r>
    </w:p>
    <w:p>
      <w:pPr>
        <w:spacing w:line="490" w:lineRule="exact"/>
        <w:ind w:firstLine="480" w:firstLineChars="200"/>
        <w:rPr>
          <w:rFonts w:hint="eastAsia" w:ascii="宋体" w:hAnsi="宋体"/>
          <w:bCs/>
          <w:color w:val="auto"/>
          <w:sz w:val="24"/>
        </w:rPr>
      </w:pPr>
      <w:r>
        <w:rPr>
          <w:rFonts w:hint="eastAsia" w:ascii="宋体" w:hAnsi="宋体"/>
          <w:bCs/>
          <w:color w:val="auto"/>
          <w:sz w:val="24"/>
          <w:lang w:val="en-US" w:eastAsia="zh-CN"/>
        </w:rPr>
        <w:t>1、根据中标人实际送货量据实结算，按季度支付，全年费用不得超出中标总价（超出部分中标人自行承担）。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lang w:val="en-US" w:eastAsia="zh-CN"/>
          <w14:textFill>
            <w14:solidFill>
              <w14:schemeClr w14:val="tx1"/>
            </w14:solidFill>
          </w14:textFill>
        </w:rPr>
        <w:t>2</w:t>
      </w:r>
      <w:r>
        <w:rPr>
          <w:rFonts w:hint="eastAsia" w:ascii="宋体" w:hAnsi="宋体"/>
          <w:bCs/>
          <w:color w:val="000000" w:themeColor="text1"/>
          <w:sz w:val="24"/>
          <w14:textFill>
            <w14:solidFill>
              <w14:schemeClr w14:val="tx1"/>
            </w14:solidFill>
          </w14:textFill>
        </w:rPr>
        <w:t>、甲方支付方式:乙方应在每次要求付款前向甲方开具符合税务要求的足额合法的增值税专用发票，税率</w:t>
      </w:r>
      <w:r>
        <w:rPr>
          <w:rFonts w:hint="eastAsia" w:ascii="宋体" w:hAnsi="宋体"/>
          <w:bCs/>
          <w:color w:val="000000" w:themeColor="text1"/>
          <w:sz w:val="24"/>
          <w:lang w:val="en-US" w:eastAsia="zh-CN"/>
          <w14:textFill>
            <w14:solidFill>
              <w14:schemeClr w14:val="tx1"/>
            </w14:solidFill>
          </w14:textFill>
        </w:rPr>
        <w:t xml:space="preserve">  </w:t>
      </w:r>
      <w:r>
        <w:rPr>
          <w:rFonts w:hint="eastAsia" w:ascii="宋体" w:hAnsi="宋体"/>
          <w:bCs/>
          <w:color w:val="000000" w:themeColor="text1"/>
          <w:sz w:val="24"/>
          <w14:textFill>
            <w14:solidFill>
              <w14:schemeClr w14:val="tx1"/>
            </w14:solidFill>
          </w14:textFill>
        </w:rPr>
        <w:t>。否则，视为乙方违约，甲方有权拒绝付款，且不承担违约责任。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乙方指定收款账户为：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公司全称：</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开户行：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账号：乙方保证提供的账户信息准确无误，乙方账户信息如有变更，应在合同规定的付款时间基础上至少提前7日以书面方式通知甲方。如乙方未按时通知或通知有误而导致甲方延期付款或无法转账的，甲方不承担任何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四、交货地点：甲方指定地点（合肥体育中心游泳馆或天鹅湖全民健身中心游泳馆)。</w:t>
      </w:r>
    </w:p>
    <w:p>
      <w:pPr>
        <w:spacing w:line="490" w:lineRule="exact"/>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五、供货方式：</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自合同生效日，乙方根据游泳馆戏水池、培训池、竞赛池、跳水池实际水质养护所需药品一次性提供满足10个工作日用量，补给药品将由甲方电话通知或以QQ/邮件通知时间为准,甲方告知乙方所需补给药剂品种;乙方在接到甲方通知送货需求后5个工作日内将甲方所需药品送到甲方指定地点，甲方派专人负责签收。</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2、自合同生效日第5个工作日内，乙方须</w:t>
      </w:r>
      <w:r>
        <w:rPr>
          <w:rFonts w:hint="eastAsia" w:ascii="宋体" w:hAnsi="宋体"/>
          <w:bCs/>
          <w:color w:val="000000" w:themeColor="text1"/>
          <w:sz w:val="24"/>
          <w:lang w:val="en-US" w:eastAsia="zh-CN"/>
          <w14:textFill>
            <w14:solidFill>
              <w14:schemeClr w14:val="tx1"/>
            </w14:solidFill>
          </w14:textFill>
        </w:rPr>
        <w:t>指派专业技术人员对甲方相关人员进行自动投药设备的培训直至运行</w:t>
      </w:r>
      <w:r>
        <w:rPr>
          <w:rFonts w:hint="eastAsia" w:ascii="宋体" w:hAnsi="宋体"/>
          <w:bCs/>
          <w:color w:val="000000" w:themeColor="text1"/>
          <w:sz w:val="24"/>
          <w14:textFill>
            <w14:solidFill>
              <w14:schemeClr w14:val="tx1"/>
            </w14:solidFill>
          </w14:textFill>
        </w:rPr>
        <w:t>使用，自动投药设备产权归属</w:t>
      </w:r>
      <w:r>
        <w:rPr>
          <w:rFonts w:hint="eastAsia" w:ascii="宋体" w:hAnsi="宋体"/>
          <w:bCs/>
          <w:color w:val="000000" w:themeColor="text1"/>
          <w:sz w:val="24"/>
          <w:lang w:val="en-US" w:eastAsia="zh-CN"/>
          <w14:textFill>
            <w14:solidFill>
              <w14:schemeClr w14:val="tx1"/>
            </w14:solidFill>
          </w14:textFill>
        </w:rPr>
        <w:t>甲</w:t>
      </w:r>
      <w:r>
        <w:rPr>
          <w:rFonts w:hint="eastAsia" w:ascii="宋体" w:hAnsi="宋体"/>
          <w:bCs/>
          <w:color w:val="000000" w:themeColor="text1"/>
          <w:sz w:val="24"/>
          <w14:textFill>
            <w14:solidFill>
              <w14:schemeClr w14:val="tx1"/>
            </w14:solidFill>
          </w14:textFill>
        </w:rPr>
        <w:t>方所有，自动投药设备维护维修责任以及所产生的一切费用均由乙方自行承担。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六、产品的质量及验收标准：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1、乙方向甲方供应的产品,其品种、规格、质量符合国家相关质量标准规范要求。</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2、在乙方供应的产品范围内,国家相关质量监督管理等部门或顾客如对乙方所供的产品存有疑义的,乙方负有证明该产品符合国家标准并配合甲方澄清事实妥善处理的义务</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3、乙方向甲方提供游泳池水质处理所需的所有药剂为合格正品。</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4、乙方承包合肥市体育中心、天鹅湖全民健身中心游泳馆训练池、跳水池、比赛池三个泳池合作期间水质养护用药费用，不得超过中标价，超出部分由乙方自行承担。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5、因乙方产品质量，造成任何人身损害或客户要求赔偿等损失的，甲方有权要求乙方赔偿实际损失并按照合同总额30%承担违约责任。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七、甲、乙双方责任：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1、甲方负责</w:t>
      </w:r>
      <w:r>
        <w:rPr>
          <w:rFonts w:hint="eastAsia" w:ascii="宋体" w:hAnsi="宋体"/>
          <w:bCs/>
          <w:color w:val="000000" w:themeColor="text1"/>
          <w:sz w:val="24"/>
          <w:lang w:val="en-US" w:eastAsia="zh-CN"/>
          <w14:textFill>
            <w14:solidFill>
              <w14:schemeClr w14:val="tx1"/>
            </w14:solidFill>
          </w14:textFill>
        </w:rPr>
        <w:t>提</w:t>
      </w:r>
      <w:r>
        <w:rPr>
          <w:rFonts w:hint="eastAsia" w:ascii="宋体" w:hAnsi="宋体"/>
          <w:bCs/>
          <w:color w:val="000000" w:themeColor="text1"/>
          <w:sz w:val="24"/>
          <w14:textFill>
            <w14:solidFill>
              <w14:schemeClr w14:val="tx1"/>
            </w14:solidFill>
          </w14:textFill>
        </w:rPr>
        <w:t>供在线水质监测仪及自动投药计量泵</w:t>
      </w:r>
      <w:r>
        <w:rPr>
          <w:rFonts w:hint="eastAsia" w:ascii="宋体" w:hAnsi="宋体"/>
          <w:bCs/>
          <w:color w:val="000000" w:themeColor="text1"/>
          <w:sz w:val="24"/>
          <w:lang w:eastAsia="zh-CN"/>
          <w14:textFill>
            <w14:solidFill>
              <w14:schemeClr w14:val="tx1"/>
            </w14:solidFill>
          </w14:textFill>
        </w:rPr>
        <w:t>，</w:t>
      </w:r>
      <w:r>
        <w:rPr>
          <w:rFonts w:hint="eastAsia" w:ascii="宋体" w:hAnsi="宋体"/>
          <w:bCs/>
          <w:color w:val="000000" w:themeColor="text1"/>
          <w:sz w:val="24"/>
          <w14:textFill>
            <w14:solidFill>
              <w14:schemeClr w14:val="tx1"/>
            </w14:solidFill>
          </w14:textFill>
        </w:rPr>
        <w:t>游泳池循环设备正常运行工作。（循环水泵切换、过滤设备的覆膜、反冲洗、补水、泳池吸污），确保投加药剂的水质达到国家游泳池水质标准。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2、甲方负责按时支付乙方合同款项。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甲方负责所有国家有关单位对游泳场所的水质检测费用。若因药剂质量问题导致检测水质不合格，检测费用由乙方承担，且乙方需重新对场所的水质进行养护以达到合格标准。若因此给甲方造成损失的，乙方应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4、甲方应积极配合乙方货物进行验收,如甲方无故延迟验收的,责任由甲方承担。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5、在合同正常履行的有效期内，保证乙方为甲方游泳池药剂唯一供货商。</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乙方责任：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1、为保证甲方投加药剂的科学性，在合同期限内</w:t>
      </w:r>
      <w:r>
        <w:rPr>
          <w:rFonts w:hint="eastAsia" w:ascii="宋体" w:hAnsi="宋体"/>
          <w:bCs/>
          <w:color w:val="000000" w:themeColor="text1"/>
          <w:sz w:val="24"/>
          <w:lang w:val="en-US" w:eastAsia="zh-CN"/>
          <w14:textFill>
            <w14:solidFill>
              <w14:schemeClr w14:val="tx1"/>
            </w14:solidFill>
          </w14:textFill>
        </w:rPr>
        <w:t>对甲方自动投药系统进行定期维护，确保监测仪的数据准确</w:t>
      </w:r>
      <w:r>
        <w:rPr>
          <w:rFonts w:hint="eastAsia" w:ascii="宋体" w:hAnsi="宋体"/>
          <w:bCs/>
          <w:color w:val="000000" w:themeColor="text1"/>
          <w:sz w:val="24"/>
          <w14:textFill>
            <w14:solidFill>
              <w14:schemeClr w14:val="tx1"/>
            </w14:solidFill>
          </w14:textFill>
        </w:rPr>
        <w:t>。</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2、乙方负责为甲方每月做不少于4次水质平衡检测（检测内容包括：自由余氯、化合性余氯、总氯、水的混浊度、PH值），并提供书面的水质检测报告。</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3、乙方在合同期限内免费对甲方工作人员进行游泳池水处理投药流程进行培训。</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4、乙方依本合同所规定的交货时间,将货物按时送至甲方指定地点。</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5、为确保水质，合理控制成本，乙方可向甲方提供新产品，同时做好甲方水处理人员药剂投加的培训工作。</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八、违约责任：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因乙方原因延迟交货的，每逾期一天，则按合同总额的1‰支付逾期违约金。逾期超过2周的，甲方有权解除合同，由此给甲方造成的损失由乙方承担。若因乙方逾期交货造成甲方无药可用时，甲方可以直接解除合同向第三方采购药剂，并有权要求乙方承担合同总价款30%的违约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在乙方完全履行本合同项下义务的情况下，甲方逾期付款且乙方发出书面催款通知后7日仍未付款的，每逾期一日，应按全国银行间同业拆借中心公布的贷款市场报价利率支付应付未付款的违约金，除此之外不承担其他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3、因乙方产品质量问题或其他违约行为，造成甲方或第三方任何人身损害或客户要求赔偿等财产损失的，所有赔偿责任由乙方承担。</w:t>
      </w:r>
      <w:r>
        <w:rPr>
          <w:rFonts w:hint="eastAsia" w:ascii="宋体" w:hAnsi="宋体" w:cs="宋体"/>
          <w:bCs/>
          <w:color w:val="000000" w:themeColor="text1"/>
          <w:sz w:val="24"/>
          <w:szCs w:val="24"/>
          <w:lang w:val="en-US" w:eastAsia="zh-CN"/>
          <w14:textFill>
            <w14:solidFill>
              <w14:schemeClr w14:val="tx1"/>
            </w14:solidFill>
          </w14:textFill>
        </w:rPr>
        <w:t>给甲方造成损失的，还应对甲方承担赔偿责任。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4、因乙方违约或过错致使提起诉讼索赔而给甲方所造成的一切经济损失均由乙方承担，包括但不限于诉讼费、律师费、差旅费、文印费、担保费、诉讼保全保险费等一切合理必要支出。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5、因甲方自身原因未按规定作业流程合理投加药剂，造成甲方水质受损的，由此产生的一切后果，由甲方承担。</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九、合同终止：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1、本协议双方签字之日起生效，除不可抗拒或法定解约的情况外，甲乙双方任何一方不可单方终止本合同。</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2、如遇特殊情况，甲方可提前一个月以书面形式通知乙方解除合同并注明原因，甲方在据实结清乙方合同解除前的所有款项后，互不承担违约责任。</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十、其它：</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合作期间内，甲乙双方本着诚信负责的态度，在保证水质、科学投药、合理控制成本的前提下，若经双方人员共同努力，依然导致药剂实际使用费用超出本合同预算金额，及给双方协商一致，甲方可根据实际发生额与乙方结算相应的费用（游泳池药品价格详见附件一，附件与本合同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十一、履约保证金：</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1.本项目履约保证金为中标价的5% 。</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2.如乙方未能履行其合同规定的任何义务，甲方有权从履约保证金和应付乙方的货款中直接扣除相应的赔偿金、违约金等。</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3.履约保证金在本合同期限届满后，如乙方不存在任何违约行为，甲方在收到乙方申请后7个工作日内无息返还。</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十二、双方如有未尽事宜，通过友好协商解决。协商不成的，双方有权将争议提交甲方所在地人民法院。</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十三、此合同一式肆份，甲方持叁份，乙方持壹份，均具有同等法律效力。</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十四、双方同意，合同载明的地址、工商登记地址均为双方约定的法律文书送达地址，寄往该地址的各类法律文书，自交邮之日起第3日视为送达之日。任何一方地址有变动的，应提前15日以书面形式通知另一方，否则视为地址未变动.</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甲方（盖章）                    乙方（盖章）</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法定代表人                      法定代表人</w:t>
      </w: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或委托代理人（签字）：           或委托代理人（签字）：</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地址：                           地址：</w:t>
      </w:r>
    </w:p>
    <w:p>
      <w:pPr>
        <w:spacing w:line="490" w:lineRule="exact"/>
        <w:ind w:firstLine="480" w:firstLineChars="200"/>
        <w:rPr>
          <w:rFonts w:ascii="宋体" w:hAnsi="宋体"/>
          <w:bCs/>
          <w:color w:val="000000" w:themeColor="text1"/>
          <w:sz w:val="24"/>
          <w14:textFill>
            <w14:solidFill>
              <w14:schemeClr w14:val="tx1"/>
            </w14:solidFill>
          </w14:textFill>
        </w:rPr>
      </w:pPr>
    </w:p>
    <w:p>
      <w:pPr>
        <w:spacing w:line="490" w:lineRule="exact"/>
        <w:ind w:firstLine="480" w:firstLineChars="200"/>
        <w:rPr>
          <w:rFonts w:ascii="宋体" w:hAnsi="宋体"/>
          <w:b/>
          <w:color w:val="000000" w:themeColor="text1"/>
          <w:sz w:val="24"/>
          <w:szCs w:val="27"/>
          <w14:textFill>
            <w14:solidFill>
              <w14:schemeClr w14:val="tx1"/>
            </w14:solidFill>
          </w14:textFill>
        </w:rPr>
      </w:pPr>
      <w:r>
        <w:rPr>
          <w:rFonts w:hint="eastAsia" w:ascii="宋体" w:hAnsi="宋体"/>
          <w:bCs/>
          <w:color w:val="000000" w:themeColor="text1"/>
          <w:sz w:val="24"/>
          <w14:textFill>
            <w14:solidFill>
              <w14:schemeClr w14:val="tx1"/>
            </w14:solidFill>
          </w14:textFill>
        </w:rPr>
        <w:t>日期：                           日期：</w:t>
      </w:r>
    </w:p>
    <w:p>
      <w:pPr>
        <w:spacing w:line="490" w:lineRule="exact"/>
        <w:ind w:firstLine="482" w:firstLineChars="200"/>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7"/>
          <w14:textFill>
            <w14:solidFill>
              <w14:schemeClr w14:val="tx1"/>
            </w14:solidFill>
          </w14:textFill>
        </w:rPr>
        <w:t>备注：本合同仅供参考，如本合同的约定如与本项目</w:t>
      </w:r>
      <w:r>
        <w:rPr>
          <w:rFonts w:hint="eastAsia" w:ascii="宋体" w:hAnsi="宋体"/>
          <w:b/>
          <w:color w:val="000000" w:themeColor="text1"/>
          <w:sz w:val="24"/>
          <w14:textFill>
            <w14:solidFill>
              <w14:schemeClr w14:val="tx1"/>
            </w14:solidFill>
          </w14:textFill>
        </w:rPr>
        <w:t>招标</w:t>
      </w:r>
      <w:r>
        <w:rPr>
          <w:rFonts w:hint="eastAsia" w:ascii="宋体" w:hAnsi="宋体"/>
          <w:b/>
          <w:color w:val="000000" w:themeColor="text1"/>
          <w:sz w:val="24"/>
          <w:szCs w:val="27"/>
          <w14:textFill>
            <w14:solidFill>
              <w14:schemeClr w14:val="tx1"/>
            </w14:solidFill>
          </w14:textFill>
        </w:rPr>
        <w:t>文件的投标人须知前附表、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的约定不一致的地方，以投标人须知前附表、</w:t>
      </w:r>
      <w:r>
        <w:rPr>
          <w:rFonts w:hint="eastAsia" w:ascii="宋体" w:hAnsi="宋体"/>
          <w:b/>
          <w:bCs/>
          <w:color w:val="000000" w:themeColor="text1"/>
          <w:sz w:val="24"/>
          <w14:textFill>
            <w14:solidFill>
              <w14:schemeClr w14:val="tx1"/>
            </w14:solidFill>
          </w14:textFill>
        </w:rPr>
        <w:t>招标需求</w:t>
      </w:r>
      <w:r>
        <w:rPr>
          <w:rFonts w:hint="eastAsia" w:ascii="宋体" w:hAnsi="宋体"/>
          <w:b/>
          <w:color w:val="000000" w:themeColor="text1"/>
          <w:sz w:val="24"/>
          <w:szCs w:val="27"/>
          <w14:textFill>
            <w14:solidFill>
              <w14:schemeClr w14:val="tx1"/>
            </w14:solidFill>
          </w14:textFill>
        </w:rPr>
        <w:t>的约定为准。</w:t>
      </w:r>
    </w:p>
    <w:p>
      <w:pPr>
        <w:spacing w:line="470" w:lineRule="exact"/>
        <w:rPr>
          <w:b/>
          <w:color w:val="000000" w:themeColor="text1"/>
          <w:sz w:val="24"/>
          <w14:textFill>
            <w14:solidFill>
              <w14:schemeClr w14:val="tx1"/>
            </w14:solidFill>
          </w14:textFill>
        </w:rPr>
      </w:pPr>
    </w:p>
    <w:p>
      <w:pPr>
        <w:spacing w:line="470" w:lineRule="exact"/>
        <w:rPr>
          <w:b/>
          <w:color w:val="000000" w:themeColor="text1"/>
          <w:sz w:val="24"/>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bookmarkStart w:id="69" w:name="_Toc3121"/>
      <w:bookmarkStart w:id="70" w:name="_Toc7078087"/>
      <w:bookmarkStart w:id="71" w:name="_Toc1217"/>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lang w:val="zh-CN"/>
          <w14:textFill>
            <w14:solidFill>
              <w14:schemeClr w14:val="tx1"/>
            </w14:solidFill>
          </w14:textFill>
        </w:rPr>
      </w:pPr>
    </w:p>
    <w:p>
      <w:pPr>
        <w:spacing w:line="360" w:lineRule="auto"/>
        <w:jc w:val="center"/>
        <w:outlineLvl w:val="0"/>
        <w:rPr>
          <w:rFonts w:hint="eastAsia"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第七章 投标文件格式</w:t>
      </w:r>
      <w:bookmarkEnd w:id="69"/>
      <w:bookmarkEnd w:id="70"/>
      <w:bookmarkEnd w:id="71"/>
    </w:p>
    <w:p>
      <w:pPr>
        <w:spacing w:line="5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投标文件资料清单</w:t>
      </w:r>
    </w:p>
    <w:tbl>
      <w:tblPr>
        <w:tblStyle w:val="50"/>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76"/>
        <w:gridCol w:w="2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242"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5376"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资料名称</w:t>
            </w:r>
          </w:p>
        </w:tc>
        <w:tc>
          <w:tcPr>
            <w:tcW w:w="2625" w:type="dxa"/>
            <w:vAlign w:val="center"/>
          </w:tcPr>
          <w:p>
            <w:pPr>
              <w:spacing w:line="40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一</w:t>
            </w:r>
          </w:p>
        </w:tc>
        <w:tc>
          <w:tcPr>
            <w:tcW w:w="5376" w:type="dxa"/>
            <w:vAlign w:val="center"/>
          </w:tcPr>
          <w:p>
            <w:pPr>
              <w:rPr>
                <w:rFonts w:ascii="宋体" w:hAnsi="宋体" w:cs="宋体"/>
                <w:color w:val="000000" w:themeColor="text1"/>
                <w:sz w:val="24"/>
                <w:szCs w:val="24"/>
                <w:u w:val="single"/>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投标函</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二</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投标人情况综合简介</w:t>
            </w:r>
          </w:p>
        </w:tc>
        <w:tc>
          <w:tcPr>
            <w:tcW w:w="2625" w:type="dxa"/>
            <w:vAlign w:val="center"/>
          </w:tcPr>
          <w:p>
            <w:pPr>
              <w:spacing w:line="360" w:lineRule="auto"/>
              <w:jc w:val="center"/>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三</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开标一览表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四</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投标响应表</w:t>
            </w:r>
          </w:p>
        </w:tc>
        <w:tc>
          <w:tcPr>
            <w:tcW w:w="2625" w:type="dxa"/>
            <w:vAlign w:val="center"/>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五</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投标货物及报价表</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六</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七</w:t>
            </w:r>
          </w:p>
        </w:tc>
        <w:tc>
          <w:tcPr>
            <w:tcW w:w="5376" w:type="dxa"/>
            <w:vAlign w:val="center"/>
          </w:tcPr>
          <w:p>
            <w:pPr>
              <w:rPr>
                <w:rFonts w:ascii="宋体" w:hAnsi="宋体" w:cs="宋体"/>
                <w:bCs/>
                <w:color w:val="000000" w:themeColor="text1"/>
                <w:sz w:val="24"/>
                <w:szCs w:val="24"/>
                <w14:textFill>
                  <w14:solidFill>
                    <w14:schemeClr w14:val="tx1"/>
                  </w14:solidFill>
                </w14:textFill>
              </w:rPr>
            </w:pPr>
            <w:r>
              <w:rPr>
                <w:rFonts w:hint="eastAsia" w:ascii="宋体" w:hAnsi="宋体" w:cs="宋体"/>
                <w:bCs/>
                <w:color w:val="000000" w:themeColor="text1"/>
                <w:sz w:val="24"/>
                <w:szCs w:val="24"/>
                <w14:textFill>
                  <w14:solidFill>
                    <w14:schemeClr w14:val="tx1"/>
                  </w14:solidFill>
                </w14:textFill>
              </w:rPr>
              <w:t>投标人信用承诺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八</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投标业绩</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九</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有关证明文件</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十</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项目人员配备</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十一</w:t>
            </w:r>
          </w:p>
        </w:tc>
        <w:tc>
          <w:tcPr>
            <w:tcW w:w="5376" w:type="dxa"/>
            <w:vAlign w:val="center"/>
          </w:tcPr>
          <w:p>
            <w:pPr>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生产厂商授权书</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十二</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售后服务体系</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维保方案</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检测报告</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十三</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产品质量承诺</w:t>
            </w:r>
          </w:p>
        </w:tc>
        <w:tc>
          <w:tcPr>
            <w:tcW w:w="2625" w:type="dxa"/>
            <w:vAlign w:val="center"/>
          </w:tcPr>
          <w:p>
            <w:pPr>
              <w:spacing w:line="360" w:lineRule="auto"/>
              <w:rPr>
                <w:rFonts w:ascii="宋体" w:hAnsi="宋体" w:cs="宋体"/>
                <w:b/>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十四</w:t>
            </w:r>
          </w:p>
        </w:tc>
        <w:tc>
          <w:tcPr>
            <w:tcW w:w="5376" w:type="dxa"/>
            <w:vAlign w:val="center"/>
          </w:tcPr>
          <w:p>
            <w:pP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投标人认为需要提供的其他资料</w:t>
            </w:r>
          </w:p>
        </w:tc>
        <w:tc>
          <w:tcPr>
            <w:tcW w:w="2625"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bookmarkStart w:id="72" w:name="_Toc516969098"/>
      <w:bookmarkStart w:id="73" w:name="_Toc536542354"/>
      <w:bookmarkStart w:id="74" w:name="_Toc24872"/>
      <w:bookmarkStart w:id="75" w:name="_Toc7078088"/>
      <w:bookmarkStart w:id="76" w:name="_Toc471736410"/>
      <w:bookmarkStart w:id="77" w:name="_Toc197934561"/>
      <w:bookmarkStart w:id="78" w:name="_Toc471736407"/>
    </w:p>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p>
    <w:p>
      <w:pPr>
        <w:pStyle w:val="2"/>
        <w:rPr>
          <w:rFonts w:ascii="宋体" w:hAnsi="宋体"/>
          <w:b/>
          <w:bCs/>
          <w:color w:val="000000" w:themeColor="text1"/>
          <w:sz w:val="28"/>
          <w:szCs w:val="32"/>
          <w:lang w:val="zh-CN"/>
          <w14:textFill>
            <w14:solidFill>
              <w14:schemeClr w14:val="tx1"/>
            </w14:solidFill>
          </w14:textFill>
        </w:rPr>
      </w:pPr>
    </w:p>
    <w:p>
      <w:pPr>
        <w:pStyle w:val="2"/>
        <w:rPr>
          <w:rFonts w:ascii="宋体" w:hAnsi="宋体"/>
          <w:b/>
          <w:bCs/>
          <w:color w:val="000000" w:themeColor="text1"/>
          <w:sz w:val="28"/>
          <w:szCs w:val="32"/>
          <w:lang w:val="zh-CN"/>
          <w14:textFill>
            <w14:solidFill>
              <w14:schemeClr w14:val="tx1"/>
            </w14:solidFill>
          </w14:textFill>
        </w:rPr>
      </w:pPr>
    </w:p>
    <w:p>
      <w:pPr>
        <w:pStyle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79" w:name="_Toc25959"/>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一．投标函</w:t>
      </w:r>
      <w:bookmarkEnd w:id="72"/>
      <w:bookmarkEnd w:id="73"/>
      <w:bookmarkEnd w:id="74"/>
      <w:bookmarkEnd w:id="75"/>
      <w:bookmarkEnd w:id="76"/>
      <w:bookmarkEnd w:id="79"/>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致：合肥</w:t>
      </w:r>
      <w:r>
        <w:rPr>
          <w:rFonts w:hint="eastAsia" w:ascii="宋体" w:hAnsi="宋体" w:cs="宋体"/>
          <w:color w:val="000000" w:themeColor="text1"/>
          <w:sz w:val="24"/>
          <w:szCs w:val="24"/>
          <w:lang w:val="en-US" w:eastAsia="zh-CN"/>
          <w14:textFill>
            <w14:solidFill>
              <w14:schemeClr w14:val="tx1"/>
            </w14:solidFill>
          </w14:textFill>
        </w:rPr>
        <w:t>体育产业投资</w:t>
      </w:r>
      <w:r>
        <w:rPr>
          <w:rFonts w:hint="eastAsia" w:ascii="宋体" w:hAnsi="宋体" w:cs="宋体"/>
          <w:color w:val="000000" w:themeColor="text1"/>
          <w:sz w:val="24"/>
          <w:szCs w:val="24"/>
          <w14:textFill>
            <w14:solidFill>
              <w14:schemeClr w14:val="tx1"/>
            </w14:solidFill>
          </w14:textFill>
        </w:rPr>
        <w:t>有限公司</w:t>
      </w:r>
    </w:p>
    <w:p>
      <w:pPr>
        <w:spacing w:line="360" w:lineRule="auto"/>
        <w:ind w:left="101" w:leftChars="48" w:firstLine="480" w:firstLineChars="200"/>
        <w:jc w:val="left"/>
        <w:rPr>
          <w:rFonts w:ascii="宋体" w:hAnsi="宋体" w:cs="宋体"/>
          <w:dstrike/>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根据贵方“</w:t>
      </w:r>
      <w:r>
        <w:rPr>
          <w:rFonts w:hint="eastAsia" w:ascii="宋体" w:hAnsi="宋体" w:cs="宋体"/>
          <w:b/>
          <w:bCs/>
          <w:color w:val="000000" w:themeColor="text1"/>
          <w:sz w:val="24"/>
          <w:szCs w:val="24"/>
          <w:u w:val="single"/>
          <w14:textFill>
            <w14:solidFill>
              <w14:schemeClr w14:val="tx1"/>
            </w14:solidFill>
          </w14:textFill>
        </w:rPr>
        <w:t xml:space="preserve">                   项目</w:t>
      </w:r>
      <w:r>
        <w:rPr>
          <w:rFonts w:hint="eastAsia" w:ascii="宋体" w:hAnsi="宋体" w:cs="宋体"/>
          <w:color w:val="000000" w:themeColor="text1"/>
          <w:sz w:val="24"/>
          <w:szCs w:val="24"/>
          <w14:textFill>
            <w14:solidFill>
              <w14:schemeClr w14:val="tx1"/>
            </w14:solidFill>
          </w14:textFill>
        </w:rPr>
        <w:t>”的第</w:t>
      </w:r>
      <w:r>
        <w:rPr>
          <w:rFonts w:hint="eastAsia" w:ascii="宋体" w:hAnsi="宋体" w:cs="宋体"/>
          <w:b/>
          <w:color w:val="000000" w:themeColor="text1"/>
          <w:kern w:val="0"/>
          <w:sz w:val="24"/>
          <w:szCs w:val="24"/>
          <w:u w:val="single"/>
          <w:lang w:val="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号招标邀请书，正式授权</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（姓名、身份证号）代表投标人</w:t>
      </w: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（投标人全称），提交规定形式的投标文件。</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据此函，我方兹宣布同意如下：</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1.按招标文件规定提供交付的货物（包括安装调试、质保等工作）的最终投标报价详见开标一览表，如我公司中标，我公司承诺愿意按招标文件规定交纳履约保证金、工程量清单和控制价编制费（如有）。</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2.我方根据招标文件的规定，严格履行合同的责任和义务</w:t>
      </w:r>
      <w:r>
        <w:rPr>
          <w:rFonts w:ascii="宋体" w:hAnsi="宋体"/>
          <w:color w:val="000000" w:themeColor="text1"/>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并保证于买方要求的日期内完成供货、安装及服务，并通过买方验收。</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3.我方承诺报价低于</w:t>
      </w:r>
      <w:r>
        <w:rPr>
          <w:rFonts w:ascii="宋体" w:hAnsi="宋体"/>
          <w:color w:val="000000" w:themeColor="text1"/>
          <w:sz w:val="24"/>
          <w14:textFill>
            <w14:solidFill>
              <w14:schemeClr w14:val="tx1"/>
            </w14:solidFill>
          </w14:textFill>
        </w:rPr>
        <w:t>同类货物和服务的市场平均价格。</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我方已详细审核全部招标文件，包括招标文件的答疑、澄清、变更或补充（如有），参考资料及有关附件，我方正式认可并遵守本次招标文件，并对招标文件各项条款（包括开标时间）、规定及要求均无异议。我方知道必须放弃提出含糊不清或误解的问题的权利。</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5.我方同意从招标文件规定的开标日期起遵循本投标文件，并在招标文件规定的投标有效期之前均具有约束力。</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6、我方声明投标文件所提供的一切资料均真实无误、及时、有效。企业运营正常（</w:t>
      </w:r>
      <w:r>
        <w:rPr>
          <w:rFonts w:ascii="宋体" w:hAnsi="宋体"/>
          <w:color w:val="000000" w:themeColor="text1"/>
          <w:sz w:val="24"/>
          <w14:textFill>
            <w14:solidFill>
              <w14:schemeClr w14:val="tx1"/>
            </w14:solidFill>
          </w14:textFill>
        </w:rPr>
        <w:t>注册登记信息、年报信息</w:t>
      </w:r>
      <w:r>
        <w:rPr>
          <w:rFonts w:hint="eastAsia" w:ascii="宋体" w:hAnsi="宋体"/>
          <w:color w:val="000000" w:themeColor="text1"/>
          <w:sz w:val="24"/>
          <w14:textFill>
            <w14:solidFill>
              <w14:schemeClr w14:val="tx1"/>
            </w14:solidFill>
          </w14:textFill>
        </w:rPr>
        <w:t>可查）。由于我方提供资料不实而造成的责任和后果由我方承担。我方同意按照贵方提出的要求，提供与投标有关的任何证据、数据或资料。</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7.我方承诺若中标，按招标文件要求提供本地化服务。</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8.我方完全理解贵方不一定接受最低报价的投标。</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9.我方同意招标文件规定的付款方式。</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10.与本投标有关的通讯地址：</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电    话：</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传    真：</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投标人基本账户开户名：</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账号：</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开户行：</w:t>
      </w:r>
      <w:r>
        <w:rPr>
          <w:rFonts w:hint="eastAsia" w:ascii="宋体" w:hAnsi="宋体"/>
          <w:color w:val="000000" w:themeColor="text1"/>
          <w:sz w:val="24"/>
          <w:u w:val="single"/>
          <w14:textFill>
            <w14:solidFill>
              <w14:schemeClr w14:val="tx1"/>
            </w14:solidFill>
          </w14:textFill>
        </w:rPr>
        <w:t xml:space="preserve">            </w:t>
      </w:r>
    </w:p>
    <w:p>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投标人签章：</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    期：</w:t>
      </w:r>
      <w:r>
        <w:rPr>
          <w:rFonts w:hint="eastAsia" w:ascii="宋体" w:hAnsi="宋体"/>
          <w:color w:val="000000" w:themeColor="text1"/>
          <w:sz w:val="24"/>
          <w:u w:val="single"/>
          <w14:textFill>
            <w14:solidFill>
              <w14:schemeClr w14:val="tx1"/>
            </w14:solidFill>
          </w14:textFill>
        </w:rPr>
        <w:t xml:space="preserve">                     </w:t>
      </w:r>
    </w:p>
    <w:p>
      <w:pPr>
        <w:widowControl/>
        <w:spacing w:line="520" w:lineRule="exact"/>
        <w:ind w:firstLine="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特此承诺</w:t>
      </w:r>
    </w:p>
    <w:p>
      <w:pPr>
        <w:widowControl/>
        <w:spacing w:line="360" w:lineRule="exact"/>
        <w:ind w:left="840" w:leftChars="400"/>
        <w:jc w:val="left"/>
        <w:rPr>
          <w:rFonts w:ascii="宋体" w:hAnsi="宋体" w:cs="宋体"/>
          <w:color w:val="000000" w:themeColor="text1"/>
          <w:kern w:val="0"/>
          <w:sz w:val="24"/>
          <w:szCs w:val="24"/>
          <w14:textFill>
            <w14:solidFill>
              <w14:schemeClr w14:val="tx1"/>
            </w14:solidFill>
          </w14:textFill>
        </w:rPr>
      </w:pP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投标人（公章）：</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企业法人（签字）：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授权代表（签字）：</w:t>
      </w:r>
    </w:p>
    <w:p>
      <w:pPr>
        <w:widowControl/>
        <w:spacing w:line="520" w:lineRule="exact"/>
        <w:ind w:left="48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 xml:space="preserve">                                         年</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月</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14:textFill>
            <w14:solidFill>
              <w14:schemeClr w14:val="tx1"/>
            </w14:solidFill>
          </w14:textFill>
        </w:rPr>
        <w:t>日</w:t>
      </w:r>
    </w:p>
    <w:p>
      <w:pPr>
        <w:rPr>
          <w:rFonts w:ascii="宋体" w:hAnsi="宋体" w:cs="宋体"/>
          <w:color w:val="000000" w:themeColor="text1"/>
          <w:sz w:val="24"/>
          <w:szCs w:val="24"/>
          <w14:textFill>
            <w14:solidFill>
              <w14:schemeClr w14:val="tx1"/>
            </w14:solidFill>
          </w14:textFill>
        </w:rPr>
      </w:pPr>
    </w:p>
    <w:bookmarkEnd w:id="77"/>
    <w:bookmarkEnd w:id="78"/>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bookmarkStart w:id="80" w:name="_Toc516969097"/>
      <w:bookmarkStart w:id="81" w:name="_Toc471736409"/>
      <w:bookmarkStart w:id="82" w:name="_Toc536542355"/>
      <w:bookmarkStart w:id="83" w:name="_Toc7078089"/>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84" w:name="_Toc18978"/>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pStyle w:val="58"/>
        <w:rPr>
          <w:rFonts w:hint="eastAsia" w:ascii="宋体" w:hAnsi="宋体"/>
          <w:b/>
          <w:bCs/>
          <w:color w:val="000000" w:themeColor="text1"/>
          <w:sz w:val="28"/>
          <w:szCs w:val="32"/>
          <w:lang w:val="zh-CN"/>
          <w14:textFill>
            <w14:solidFill>
              <w14:schemeClr w14:val="tx1"/>
            </w14:solidFill>
          </w14:textFill>
        </w:rPr>
      </w:pPr>
    </w:p>
    <w:p>
      <w:pPr>
        <w:keepNext/>
        <w:keepLines/>
        <w:spacing w:before="260" w:after="260" w:line="416" w:lineRule="auto"/>
        <w:ind w:firstLine="3092" w:firstLineChars="1100"/>
        <w:jc w:val="both"/>
        <w:outlineLvl w:val="2"/>
        <w:rPr>
          <w:rFonts w:hint="eastAsia" w:ascii="宋体" w:hAnsi="宋体"/>
          <w:b/>
          <w:bCs/>
          <w:color w:val="000000" w:themeColor="text1"/>
          <w:sz w:val="28"/>
          <w:szCs w:val="32"/>
          <w:lang w:val="zh-CN"/>
          <w14:textFill>
            <w14:solidFill>
              <w14:schemeClr w14:val="tx1"/>
            </w14:solidFill>
          </w14:textFill>
        </w:rPr>
      </w:pPr>
      <w:bookmarkStart w:id="85" w:name="_Toc23937"/>
    </w:p>
    <w:p>
      <w:pPr>
        <w:keepNext/>
        <w:keepLines/>
        <w:spacing w:before="260" w:after="260" w:line="416" w:lineRule="auto"/>
        <w:ind w:firstLine="3092" w:firstLineChars="1100"/>
        <w:jc w:val="both"/>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二．投标人情况综合简介</w:t>
      </w:r>
      <w:bookmarkEnd w:id="80"/>
      <w:bookmarkEnd w:id="81"/>
      <w:bookmarkEnd w:id="82"/>
      <w:bookmarkEnd w:id="83"/>
      <w:bookmarkEnd w:id="84"/>
      <w:bookmarkEnd w:id="85"/>
    </w:p>
    <w:p>
      <w:pPr>
        <w:spacing w:line="5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(投标人可自行制作格式)</w:t>
      </w:r>
    </w:p>
    <w:p>
      <w:pPr>
        <w:spacing w:line="500" w:lineRule="exact"/>
        <w:jc w:val="center"/>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6" w:name="_Toc536542356"/>
      <w:bookmarkStart w:id="87" w:name="_Toc7078090"/>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pStyle w:val="58"/>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88" w:name="_Toc10885"/>
      <w:bookmarkStart w:id="89" w:name="_Toc17088"/>
      <w:r>
        <w:rPr>
          <w:rFonts w:hint="eastAsia" w:ascii="宋体" w:hAnsi="宋体"/>
          <w:b/>
          <w:bCs/>
          <w:color w:val="000000" w:themeColor="text1"/>
          <w:sz w:val="28"/>
          <w:szCs w:val="32"/>
          <w:lang w:val="zh-CN"/>
          <w14:textFill>
            <w14:solidFill>
              <w14:schemeClr w14:val="tx1"/>
            </w14:solidFill>
          </w14:textFill>
        </w:rPr>
        <w:t>三．开标一览表</w:t>
      </w:r>
      <w:bookmarkEnd w:id="86"/>
      <w:bookmarkEnd w:id="87"/>
      <w:bookmarkEnd w:id="88"/>
      <w:bookmarkEnd w:id="89"/>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项 目 名 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bCs/>
                <w:color w:val="000000" w:themeColor="text1"/>
                <w:sz w:val="24"/>
                <w:szCs w:val="24"/>
                <w:u w:val="singl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投标人全称</w:t>
            </w:r>
          </w:p>
        </w:tc>
        <w:tc>
          <w:tcPr>
            <w:tcW w:w="6667" w:type="dxa"/>
            <w:tcBorders>
              <w:top w:val="nil"/>
            </w:tcBorders>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投标范围</w:t>
            </w:r>
          </w:p>
        </w:tc>
        <w:tc>
          <w:tcPr>
            <w:tcW w:w="6667" w:type="dxa"/>
            <w:tcBorders>
              <w:top w:val="nil"/>
            </w:tcBorders>
            <w:vAlign w:val="center"/>
          </w:tcPr>
          <w:p>
            <w:pPr>
              <w:widowControl/>
              <w:spacing w:line="360" w:lineRule="exact"/>
              <w:rPr>
                <w:rFonts w:ascii="宋体" w:hAnsi="宋体" w:cs="宋体"/>
                <w:b/>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全部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最终投标报价</w:t>
            </w:r>
          </w:p>
          <w:p>
            <w:pPr>
              <w:spacing w:line="360" w:lineRule="exact"/>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（人民币）</w:t>
            </w:r>
          </w:p>
        </w:tc>
        <w:tc>
          <w:tcPr>
            <w:tcW w:w="6667" w:type="dxa"/>
            <w:tcBorders>
              <w:top w:val="nil"/>
            </w:tcBorders>
            <w:vAlign w:val="center"/>
          </w:tcPr>
          <w:p>
            <w:pPr>
              <w:spacing w:line="360" w:lineRule="auto"/>
              <w:ind w:right="-67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u w:val="single"/>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w:t>
            </w:r>
          </w:p>
        </w:tc>
        <w:tc>
          <w:tcPr>
            <w:tcW w:w="6667" w:type="dxa"/>
            <w:tcBorders>
              <w:top w:val="nil"/>
            </w:tcBorders>
            <w:vAlign w:val="center"/>
          </w:tcPr>
          <w:p>
            <w:pPr>
              <w:spacing w:line="360" w:lineRule="auto"/>
              <w:jc w:val="left"/>
              <w:rPr>
                <w:rFonts w:ascii="宋体" w:hAnsi="宋体" w:cs="宋体"/>
                <w:color w:val="000000" w:themeColor="text1"/>
                <w:sz w:val="24"/>
                <w:szCs w:val="24"/>
                <w14:textFill>
                  <w14:solidFill>
                    <w14:schemeClr w14:val="tx1"/>
                  </w14:solidFill>
                </w14:textFill>
              </w:rPr>
            </w:pPr>
          </w:p>
        </w:tc>
      </w:tr>
    </w:tbl>
    <w:p>
      <w:pPr>
        <w:spacing w:before="100" w:beforeAutospacing="1" w:after="100" w:afterAutospacing="1" w:line="360" w:lineRule="auto"/>
        <w:rPr>
          <w:rFonts w:hint="eastAsia" w:ascii="宋体" w:hAnsi="宋体" w:cs="宋体"/>
          <w:b/>
          <w:color w:val="000000" w:themeColor="text1"/>
          <w:sz w:val="24"/>
          <w:szCs w:val="24"/>
          <w14:textFill>
            <w14:solidFill>
              <w14:schemeClr w14:val="tx1"/>
            </w14:solidFill>
          </w14:textFill>
        </w:rPr>
      </w:pPr>
    </w:p>
    <w:p>
      <w:pPr>
        <w:spacing w:before="100" w:beforeAutospacing="1" w:after="100" w:afterAutospacing="1"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 xml:space="preserve">投标人(公章)：                                           </w:t>
      </w:r>
    </w:p>
    <w:p>
      <w:pPr>
        <w:spacing w:line="360" w:lineRule="auto"/>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备注：表中最终投标报价即为优惠后报价，并作为评审及定标依据。任何有选择或有条件的最终投标报价，或者表中某一标段填写多个报价，均为无效报价</w:t>
      </w:r>
    </w:p>
    <w:p>
      <w:pPr>
        <w:spacing w:line="360" w:lineRule="auto"/>
        <w:rPr>
          <w:rFonts w:ascii="宋体" w:hAnsi="宋体" w:cs="宋体"/>
          <w:b/>
          <w:color w:val="000000" w:themeColor="text1"/>
          <w:sz w:val="24"/>
          <w:szCs w:val="24"/>
          <w14:textFill>
            <w14:solidFill>
              <w14:schemeClr w14:val="tx1"/>
            </w14:solidFill>
          </w14:textFill>
        </w:rPr>
      </w:pPr>
    </w:p>
    <w:p>
      <w:pPr>
        <w:spacing w:line="360" w:lineRule="auto"/>
        <w:rPr>
          <w:rFonts w:ascii="宋体" w:hAnsi="宋体" w:cs="宋体"/>
          <w:b/>
          <w:color w:val="000000" w:themeColor="text1"/>
          <w:sz w:val="24"/>
          <w:szCs w:val="24"/>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90" w:name="_Hlt509739007"/>
      <w:bookmarkEnd w:id="90"/>
      <w:bookmarkStart w:id="91" w:name="_Toc7078091"/>
      <w:bookmarkStart w:id="92" w:name="_Toc22836"/>
      <w:bookmarkStart w:id="93" w:name="_Toc536542357"/>
      <w:bookmarkStart w:id="94" w:name="_Toc15537"/>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四．投标响应表</w:t>
      </w:r>
      <w:bookmarkEnd w:id="91"/>
      <w:bookmarkEnd w:id="92"/>
      <w:bookmarkEnd w:id="93"/>
      <w:bookmarkEnd w:id="94"/>
    </w:p>
    <w:tbl>
      <w:tblPr>
        <w:tblStyle w:val="5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按招标文件规定填写</w:t>
            </w:r>
          </w:p>
        </w:tc>
        <w:tc>
          <w:tcPr>
            <w:tcW w:w="4200" w:type="dxa"/>
            <w:gridSpan w:val="2"/>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第一部分：技术部分响应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投标具体内容/承诺</w:t>
            </w:r>
          </w:p>
          <w:p>
            <w:pP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（如所投产品品牌、型号、技术规格及配置、材质等）</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470" w:type="dxa"/>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第二部分：资信及报价部分响应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序号</w:t>
            </w:r>
          </w:p>
        </w:tc>
        <w:tc>
          <w:tcPr>
            <w:tcW w:w="147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名称/内容</w:t>
            </w:r>
          </w:p>
        </w:tc>
        <w:tc>
          <w:tcPr>
            <w:tcW w:w="252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招标要求</w:t>
            </w:r>
          </w:p>
        </w:tc>
        <w:tc>
          <w:tcPr>
            <w:tcW w:w="231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投标承诺</w:t>
            </w:r>
          </w:p>
        </w:tc>
        <w:tc>
          <w:tcPr>
            <w:tcW w:w="1890" w:type="dxa"/>
            <w:vAlign w:val="center"/>
          </w:tcPr>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470" w:type="dxa"/>
            <w:vAlign w:val="center"/>
          </w:tcPr>
          <w:p>
            <w:pP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p>
        </w:tc>
        <w:tc>
          <w:tcPr>
            <w:tcW w:w="1470" w:type="dxa"/>
            <w:vAlign w:val="center"/>
          </w:tcPr>
          <w:p>
            <w:pPr>
              <w:jc w:val="center"/>
              <w:rPr>
                <w:rFonts w:ascii="宋体" w:hAnsi="宋体" w:cs="宋体"/>
                <w:color w:val="000000" w:themeColor="text1"/>
                <w:sz w:val="24"/>
                <w:szCs w:val="24"/>
                <w14:textFill>
                  <w14:solidFill>
                    <w14:schemeClr w14:val="tx1"/>
                  </w14:solidFill>
                </w14:textFill>
              </w:rPr>
            </w:pPr>
          </w:p>
        </w:tc>
        <w:tc>
          <w:tcPr>
            <w:tcW w:w="2520" w:type="dxa"/>
          </w:tcPr>
          <w:p>
            <w:pPr>
              <w:rPr>
                <w:rFonts w:ascii="宋体" w:hAnsi="宋体" w:cs="宋体"/>
                <w:color w:val="000000" w:themeColor="text1"/>
                <w:sz w:val="24"/>
                <w:szCs w:val="24"/>
                <w14:textFill>
                  <w14:solidFill>
                    <w14:schemeClr w14:val="tx1"/>
                  </w14:solidFill>
                </w14:textFill>
              </w:rPr>
            </w:pPr>
          </w:p>
        </w:tc>
        <w:tc>
          <w:tcPr>
            <w:tcW w:w="2310" w:type="dxa"/>
          </w:tcPr>
          <w:p>
            <w:pPr>
              <w:rPr>
                <w:rFonts w:ascii="宋体" w:hAnsi="宋体" w:cs="宋体"/>
                <w:color w:val="000000" w:themeColor="text1"/>
                <w:sz w:val="24"/>
                <w:szCs w:val="24"/>
                <w14:textFill>
                  <w14:solidFill>
                    <w14:schemeClr w14:val="tx1"/>
                  </w14:solidFill>
                </w14:textFill>
              </w:rPr>
            </w:pPr>
          </w:p>
        </w:tc>
        <w:tc>
          <w:tcPr>
            <w:tcW w:w="1890" w:type="dxa"/>
          </w:tcPr>
          <w:p>
            <w:pPr>
              <w:rPr>
                <w:rFonts w:ascii="宋体" w:hAnsi="宋体" w:cs="宋体"/>
                <w:color w:val="000000" w:themeColor="text1"/>
                <w:sz w:val="24"/>
                <w:szCs w:val="24"/>
                <w14:textFill>
                  <w14:solidFill>
                    <w14:schemeClr w14:val="tx1"/>
                  </w14:solidFill>
                </w14:textFill>
              </w:rPr>
            </w:pPr>
          </w:p>
        </w:tc>
      </w:tr>
    </w:tbl>
    <w:p>
      <w:pPr>
        <w:spacing w:line="360" w:lineRule="auto"/>
        <w:rPr>
          <w:rFonts w:ascii="宋体" w:hAnsi="宋体" w:cs="宋体"/>
          <w:b/>
          <w:color w:val="000000" w:themeColor="text1"/>
          <w:sz w:val="24"/>
          <w:szCs w:val="24"/>
          <w:lang w:val="zh-CN"/>
          <w14:textFill>
            <w14:solidFill>
              <w14:schemeClr w14:val="tx1"/>
            </w14:solidFill>
          </w14:textFill>
        </w:rPr>
      </w:pPr>
      <w:r>
        <w:rPr>
          <w:rFonts w:hint="eastAsia" w:ascii="宋体" w:hAnsi="宋体" w:cs="宋体"/>
          <w:b/>
          <w:color w:val="000000" w:themeColor="text1"/>
          <w:sz w:val="24"/>
          <w:szCs w:val="24"/>
          <w:lang w:val="zh-CN"/>
          <w14:textFill>
            <w14:solidFill>
              <w14:schemeClr w14:val="tx1"/>
            </w14:solidFill>
          </w14:textFill>
        </w:rPr>
        <w:t>投标人（公章）：</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备注：</w:t>
      </w:r>
    </w:p>
    <w:p>
      <w:pPr>
        <w:spacing w:line="360" w:lineRule="auto"/>
        <w:rPr>
          <w:rFonts w:ascii="宋体" w:hAnsi="宋体" w:cs="宋体"/>
          <w:b/>
          <w:bCs/>
          <w:color w:val="000000" w:themeColor="text1"/>
          <w:sz w:val="24"/>
          <w:szCs w:val="24"/>
          <w:lang w:val="zh-CN"/>
          <w14:textFill>
            <w14:solidFill>
              <w14:schemeClr w14:val="tx1"/>
            </w14:solidFill>
          </w14:textFill>
        </w:rPr>
      </w:pPr>
      <w:r>
        <w:rPr>
          <w:rFonts w:hint="eastAsia" w:ascii="宋体" w:hAnsi="宋体" w:cs="宋体"/>
          <w:b/>
          <w:bCs/>
          <w:color w:val="000000" w:themeColor="text1"/>
          <w:sz w:val="24"/>
          <w:szCs w:val="24"/>
          <w:lang w:val="zh-CN"/>
          <w14:textFill>
            <w14:solidFill>
              <w14:schemeClr w14:val="tx1"/>
            </w14:solidFill>
          </w14:textFill>
        </w:rPr>
        <w:t>1.投标人必须根据招标需求逐项对应描述</w:t>
      </w:r>
      <w:r>
        <w:rPr>
          <w:rFonts w:hint="eastAsia" w:ascii="宋体" w:hAnsi="宋体" w:cs="宋体"/>
          <w:b/>
          <w:color w:val="000000" w:themeColor="text1"/>
          <w:sz w:val="24"/>
          <w:szCs w:val="24"/>
          <w:lang w:val="zh-CN"/>
          <w14:textFill>
            <w14:solidFill>
              <w14:schemeClr w14:val="tx1"/>
            </w14:solidFill>
          </w14:textFill>
        </w:rPr>
        <w:t>投标的具体内容，如</w:t>
      </w:r>
      <w:r>
        <w:rPr>
          <w:rFonts w:hint="eastAsia" w:ascii="宋体" w:hAnsi="宋体" w:cs="宋体"/>
          <w:b/>
          <w:bCs/>
          <w:color w:val="000000" w:themeColor="text1"/>
          <w:sz w:val="24"/>
          <w:szCs w:val="24"/>
          <w:lang w:val="zh-CN"/>
          <w14:textFill>
            <w14:solidFill>
              <w14:schemeClr w14:val="tx1"/>
            </w14:solidFill>
          </w14:textFill>
        </w:rPr>
        <w:t>投标货物主要参数、材质、配置及服务要求等，如不进行描述，仅在“</w:t>
      </w:r>
      <w:r>
        <w:rPr>
          <w:rFonts w:hint="eastAsia" w:ascii="宋体" w:hAnsi="宋体" w:cs="宋体"/>
          <w:b/>
          <w:color w:val="000000" w:themeColor="text1"/>
          <w:sz w:val="24"/>
          <w:szCs w:val="24"/>
          <w:lang w:val="zh-CN"/>
          <w14:textFill>
            <w14:solidFill>
              <w14:schemeClr w14:val="tx1"/>
            </w14:solidFill>
          </w14:textFill>
        </w:rPr>
        <w:t>按投标人所投内容填写</w:t>
      </w:r>
      <w:r>
        <w:rPr>
          <w:rFonts w:hint="eastAsia" w:ascii="宋体" w:hAnsi="宋体" w:cs="宋体"/>
          <w:b/>
          <w:bCs/>
          <w:color w:val="000000" w:themeColor="text1"/>
          <w:sz w:val="24"/>
          <w:szCs w:val="24"/>
          <w:lang w:val="zh-CN"/>
          <w14:textFill>
            <w14:solidFill>
              <w14:schemeClr w14:val="tx1"/>
            </w14:solidFill>
          </w14:textFill>
        </w:rPr>
        <w:t>”部分填写“响应”或未填写或仅复制招标文件技术参数的，包括有选择性的技术响应（例如在某一分项中出现两个及以上的投标品牌或两种及两种以上的技术规格），均可能导致投标无效；</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2.投标人所投产品如与招标文件要求的主要参数、材质、配置及服务要求等不一致的，则须在上表“偏离说明”栏中详细注明。</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3.“</w:t>
      </w:r>
      <w:r>
        <w:rPr>
          <w:rFonts w:hint="eastAsia" w:ascii="宋体" w:hAnsi="宋体" w:cs="宋体"/>
          <w:b/>
          <w:color w:val="000000" w:themeColor="text1"/>
          <w:sz w:val="24"/>
          <w:szCs w:val="24"/>
          <w14:textFill>
            <w14:solidFill>
              <w14:schemeClr w14:val="tx1"/>
            </w14:solidFill>
          </w14:textFill>
        </w:rPr>
        <w:t>按投标人所投内容填写</w:t>
      </w:r>
      <w:r>
        <w:rPr>
          <w:rFonts w:hint="eastAsia" w:ascii="宋体" w:hAnsi="宋体" w:cs="宋体"/>
          <w:b/>
          <w:bCs/>
          <w:color w:val="000000" w:themeColor="text1"/>
          <w:sz w:val="24"/>
          <w:szCs w:val="24"/>
          <w14:textFill>
            <w14:solidFill>
              <w14:schemeClr w14:val="tx1"/>
            </w14:solidFill>
          </w14:textFill>
        </w:rPr>
        <w:t>”部分可后附详细说明及技术资料。</w:t>
      </w:r>
      <w:bookmarkStart w:id="95" w:name="_Toc471736411"/>
      <w:bookmarkStart w:id="96" w:name="_Toc461103234"/>
      <w:bookmarkStart w:id="97" w:name="_Toc197934563"/>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pStyle w:val="7"/>
        <w:rPr>
          <w:rFonts w:hAnsi="宋体"/>
          <w:color w:val="000000" w:themeColor="text1"/>
          <w:sz w:val="28"/>
          <w14:textFill>
            <w14:solidFill>
              <w14:schemeClr w14:val="tx1"/>
            </w14:solidFill>
          </w14:textFill>
        </w:rPr>
      </w:pPr>
      <w:bookmarkStart w:id="98" w:name="_Toc10981"/>
      <w:bookmarkStart w:id="99" w:name="_Toc2976"/>
      <w:bookmarkStart w:id="100" w:name="_Toc7078093"/>
      <w:bookmarkStart w:id="101" w:name="_Toc536542359"/>
      <w:r>
        <w:rPr>
          <w:rFonts w:hint="eastAsia" w:hAnsi="宋体"/>
          <w:color w:val="000000" w:themeColor="text1"/>
          <w:sz w:val="28"/>
          <w14:textFill>
            <w14:solidFill>
              <w14:schemeClr w14:val="tx1"/>
            </w14:solidFill>
          </w14:textFill>
        </w:rPr>
        <w:t>五.投标货物及报价表</w:t>
      </w:r>
      <w:bookmarkEnd w:id="98"/>
    </w:p>
    <w:tbl>
      <w:tblPr>
        <w:tblStyle w:val="5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180"/>
        <w:gridCol w:w="1903"/>
        <w:gridCol w:w="2144"/>
        <w:gridCol w:w="698"/>
        <w:gridCol w:w="698"/>
        <w:gridCol w:w="698"/>
        <w:gridCol w:w="698"/>
        <w:gridCol w:w="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vAlign w:val="center"/>
          </w:tcPr>
          <w:p>
            <w:pPr>
              <w:pStyle w:val="75"/>
              <w:widowControl w:val="0"/>
              <w:spacing w:before="120" w:beforeAutospacing="0" w:after="120" w:afterAutospacing="0"/>
              <w:ind w:left="1680"/>
              <w:jc w:val="both"/>
              <w:rPr>
                <w:bCs w:val="0"/>
                <w:color w:val="000000" w:themeColor="text1"/>
                <w:kern w:val="2"/>
                <w:sz w:val="24"/>
                <w:szCs w:val="20"/>
                <w14:textFill>
                  <w14:solidFill>
                    <w14:schemeClr w14:val="tx1"/>
                  </w14:solidFill>
                </w14:textFill>
              </w:rPr>
            </w:pPr>
            <w:r>
              <w:rPr>
                <w:rFonts w:hint="eastAsia"/>
                <w:bCs w:val="0"/>
                <w:color w:val="000000" w:themeColor="text1"/>
                <w:kern w:val="2"/>
                <w:sz w:val="24"/>
                <w:szCs w:val="20"/>
                <w14:textFill>
                  <w14:solidFill>
                    <w14:schemeClr w14:val="tx1"/>
                  </w14:solidFill>
                </w14:textFill>
              </w:rPr>
              <w:t>序号</w:t>
            </w:r>
          </w:p>
        </w:tc>
        <w:tc>
          <w:tcPr>
            <w:tcW w:w="1180"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货物名称</w:t>
            </w:r>
          </w:p>
        </w:tc>
        <w:tc>
          <w:tcPr>
            <w:tcW w:w="1903"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品牌、型号规格</w:t>
            </w:r>
          </w:p>
        </w:tc>
        <w:tc>
          <w:tcPr>
            <w:tcW w:w="2144"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原产地及生产厂商</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单位</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数量</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单价</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小计</w:t>
            </w:r>
          </w:p>
        </w:tc>
        <w:tc>
          <w:tcPr>
            <w:tcW w:w="698" w:type="dxa"/>
            <w:vAlign w:val="center"/>
          </w:tcPr>
          <w:p>
            <w:pPr>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Borders>
              <w:bottom w:val="single" w:color="auto" w:sz="4" w:space="0"/>
            </w:tcBorders>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6</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7</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8</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10</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11</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12</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13</w:t>
            </w:r>
          </w:p>
        </w:tc>
        <w:tc>
          <w:tcPr>
            <w:tcW w:w="1180" w:type="dxa"/>
          </w:tcPr>
          <w:p>
            <w:pPr>
              <w:rPr>
                <w:rFonts w:ascii="宋体" w:hAnsi="宋体"/>
                <w:color w:val="000000" w:themeColor="text1"/>
                <w:sz w:val="24"/>
                <w14:textFill>
                  <w14:solidFill>
                    <w14:schemeClr w14:val="tx1"/>
                  </w14:solidFill>
                </w14:textFill>
              </w:rPr>
            </w:pP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其他费用</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pStyle w:val="69"/>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tcPr>
          <w:p>
            <w:pPr>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698" w:type="dxa"/>
          </w:tcPr>
          <w:p>
            <w:pPr>
              <w:jc w:val="center"/>
              <w:rPr>
                <w:rFonts w:ascii="宋体" w:hAnsi="宋体"/>
                <w:color w:val="000000" w:themeColor="text1"/>
                <w:sz w:val="24"/>
                <w14:textFill>
                  <w14:solidFill>
                    <w14:schemeClr w14:val="tx1"/>
                  </w14:solidFill>
                </w14:textFill>
              </w:rPr>
            </w:pPr>
          </w:p>
        </w:tc>
        <w:tc>
          <w:tcPr>
            <w:tcW w:w="1180" w:type="dxa"/>
            <w:vAlign w:val="center"/>
          </w:tcPr>
          <w:p>
            <w:pPr>
              <w:pStyle w:val="69"/>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1903" w:type="dxa"/>
          </w:tcPr>
          <w:p>
            <w:pPr>
              <w:rPr>
                <w:rFonts w:ascii="宋体" w:hAnsi="宋体"/>
                <w:color w:val="000000" w:themeColor="text1"/>
                <w:sz w:val="24"/>
                <w14:textFill>
                  <w14:solidFill>
                    <w14:schemeClr w14:val="tx1"/>
                  </w14:solidFill>
                </w14:textFill>
              </w:rPr>
            </w:pPr>
          </w:p>
        </w:tc>
        <w:tc>
          <w:tcPr>
            <w:tcW w:w="2144"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c>
          <w:tcPr>
            <w:tcW w:w="698" w:type="dxa"/>
          </w:tcPr>
          <w:p>
            <w:pPr>
              <w:rPr>
                <w:rFonts w:ascii="宋体" w:hAnsi="宋体"/>
                <w:color w:val="000000" w:themeColor="text1"/>
                <w:sz w:val="24"/>
                <w14:textFill>
                  <w14:solidFill>
                    <w14:schemeClr w14:val="tx1"/>
                  </w14:solidFill>
                </w14:textFill>
              </w:rPr>
            </w:pPr>
          </w:p>
        </w:tc>
      </w:tr>
    </w:tbl>
    <w:p>
      <w:pPr>
        <w:pStyle w:val="29"/>
        <w:spacing w:line="360" w:lineRule="auto"/>
        <w:rPr>
          <w:rFonts w:ascii="宋体" w:hAnsi="宋体"/>
          <w:b w:val="0"/>
          <w:bCs/>
          <w:color w:val="000000" w:themeColor="text1"/>
          <w:sz w:val="24"/>
          <w:szCs w:val="28"/>
          <w14:textFill>
            <w14:solidFill>
              <w14:schemeClr w14:val="tx1"/>
            </w14:solidFill>
          </w14:textFill>
        </w:rPr>
      </w:pPr>
      <w:r>
        <w:rPr>
          <w:rFonts w:hint="eastAsia" w:ascii="宋体" w:hAnsi="宋体"/>
          <w:color w:val="000000" w:themeColor="text1"/>
          <w:sz w:val="24"/>
          <w14:textFill>
            <w14:solidFill>
              <w14:schemeClr w14:val="tx1"/>
            </w14:solidFill>
          </w14:textFill>
        </w:rPr>
        <w:t>投标人公章：</w:t>
      </w:r>
    </w:p>
    <w:p>
      <w:pPr>
        <w:adjustRightInd w:val="0"/>
        <w:snapToGrid w:val="0"/>
        <w:spacing w:line="360" w:lineRule="auto"/>
        <w:rPr>
          <w:rFonts w:ascii="宋体" w:hAnsi="宋体"/>
          <w:b/>
          <w:bCs/>
          <w:color w:val="000000" w:themeColor="text1"/>
          <w:sz w:val="24"/>
          <w:szCs w:val="28"/>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pStyle w:val="58"/>
        <w:rPr>
          <w:rFonts w:ascii="宋体" w:hAnsi="宋体"/>
          <w:b/>
          <w:bCs/>
          <w:color w:val="000000" w:themeColor="text1"/>
          <w:sz w:val="28"/>
          <w:szCs w:val="32"/>
          <w:lang w:val="zh-CN"/>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2"/>
          <w:lang w:val="zh-CN"/>
          <w14:textFill>
            <w14:solidFill>
              <w14:schemeClr w14:val="tx1"/>
            </w14:solidFill>
          </w14:textFill>
        </w:rPr>
      </w:pPr>
      <w:bookmarkStart w:id="102" w:name="_Toc32709"/>
      <w:r>
        <w:rPr>
          <w:rFonts w:hint="eastAsia" w:ascii="宋体" w:hAnsi="宋体"/>
          <w:b/>
          <w:bCs/>
          <w:color w:val="000000" w:themeColor="text1"/>
          <w:sz w:val="28"/>
          <w:szCs w:val="32"/>
          <w:lang w:val="zh-CN"/>
          <w14:textFill>
            <w14:solidFill>
              <w14:schemeClr w14:val="tx1"/>
            </w14:solidFill>
          </w14:textFill>
        </w:rPr>
        <w:t>六．投标授权书</w:t>
      </w:r>
      <w:bookmarkEnd w:id="99"/>
      <w:bookmarkEnd w:id="100"/>
      <w:bookmarkEnd w:id="101"/>
      <w:bookmarkEnd w:id="102"/>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本授权书声明：</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公司授权</w:t>
      </w:r>
      <w:r>
        <w:rPr>
          <w:rFonts w:hint="eastAsia" w:ascii="宋体" w:hAnsi="宋体"/>
          <w:color w:val="000000" w:themeColor="text1"/>
          <w:sz w:val="24"/>
          <w:szCs w:val="28"/>
          <w:u w:val="single"/>
          <w:lang w:val="zh-CN"/>
          <w14:textFill>
            <w14:solidFill>
              <w14:schemeClr w14:val="tx1"/>
            </w14:solidFill>
          </w14:textFill>
        </w:rPr>
        <w:t xml:space="preserve">       </w:t>
      </w:r>
      <w:r>
        <w:rPr>
          <w:rFonts w:hint="eastAsia" w:ascii="宋体" w:hAnsi="宋体"/>
          <w:color w:val="000000" w:themeColor="text1"/>
          <w:sz w:val="24"/>
          <w:szCs w:val="28"/>
          <w:lang w:val="zh-CN"/>
          <w14:textFill>
            <w14:solidFill>
              <w14:schemeClr w14:val="tx1"/>
            </w14:solidFill>
          </w14:textFill>
        </w:rPr>
        <w:t>（投标人授权代表姓名、职务，手机号码）代表本公司参加文旅博览集团有限公司</w:t>
      </w:r>
      <w:r>
        <w:rPr>
          <w:rFonts w:hint="eastAsia" w:ascii="宋体" w:hAnsi="宋体"/>
          <w:b/>
          <w:color w:val="000000" w:themeColor="text1"/>
          <w:sz w:val="24"/>
          <w:szCs w:val="28"/>
          <w:u w:val="single"/>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招标活动（项目编号：</w:t>
      </w:r>
      <w:r>
        <w:rPr>
          <w:rFonts w:hint="eastAsia" w:ascii="宋体" w:hAnsi="宋体"/>
          <w:b/>
          <w:color w:val="000000" w:themeColor="text1"/>
          <w:sz w:val="24"/>
          <w:szCs w:val="28"/>
          <w:lang w:val="zh-CN"/>
          <w14:textFill>
            <w14:solidFill>
              <w14:schemeClr w14:val="tx1"/>
            </w14:solidFill>
          </w14:textFill>
        </w:rPr>
        <w:t xml:space="preserve">       </w:t>
      </w:r>
      <w:r>
        <w:rPr>
          <w:rFonts w:hint="eastAsia" w:ascii="宋体" w:hAnsi="宋体"/>
          <w:bCs/>
          <w:color w:val="000000" w:themeColor="text1"/>
          <w:sz w:val="24"/>
          <w:szCs w:val="28"/>
          <w:lang w:val="zh-CN"/>
          <w14:textFill>
            <w14:solidFill>
              <w14:schemeClr w14:val="tx1"/>
            </w14:solidFill>
          </w14:textFill>
        </w:rPr>
        <w:t>）</w:t>
      </w:r>
      <w:r>
        <w:rPr>
          <w:rFonts w:hint="eastAsia" w:ascii="宋体" w:hAnsi="宋体"/>
          <w:color w:val="000000" w:themeColor="text1"/>
          <w:sz w:val="24"/>
          <w:szCs w:val="28"/>
          <w:lang w:val="zh-CN"/>
          <w14:textFill>
            <w14:solidFill>
              <w14:schemeClr w14:val="tx1"/>
            </w14:solidFill>
          </w14:textFill>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pPr>
        <w:snapToGrid w:val="0"/>
        <w:spacing w:line="360" w:lineRule="auto"/>
        <w:ind w:firstLine="480" w:firstLineChars="200"/>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本授权书自出具之日起生效。</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1160780</wp:posOffset>
                </wp:positionH>
                <wp:positionV relativeFrom="paragraph">
                  <wp:posOffset>255270</wp:posOffset>
                </wp:positionV>
                <wp:extent cx="3860165" cy="727710"/>
                <wp:effectExtent l="9525" t="8255" r="6985" b="6985"/>
                <wp:wrapNone/>
                <wp:docPr id="5" name="组合 5"/>
                <wp:cNvGraphicFramePr/>
                <a:graphic xmlns:a="http://schemas.openxmlformats.org/drawingml/2006/main">
                  <a:graphicData uri="http://schemas.microsoft.com/office/word/2010/wordprocessingGroup">
                    <wpg:wgp>
                      <wpg:cNvGrpSpPr/>
                      <wpg:grpSpPr>
                        <a:xfrm>
                          <a:off x="0" y="0"/>
                          <a:ext cx="3860165" cy="727710"/>
                          <a:chOff x="3270" y="5789"/>
                          <a:chExt cx="6079" cy="1525"/>
                        </a:xfrm>
                      </wpg:grpSpPr>
                      <wps:wsp>
                        <wps:cNvPr id="6" name="自选图形 67"/>
                        <wps:cNvSpPr>
                          <a:spLocks noChangeArrowheads="1"/>
                        </wps:cNvSpPr>
                        <wps:spPr bwMode="auto">
                          <a:xfrm>
                            <a:off x="3270" y="5789"/>
                            <a:ext cx="2794" cy="1525"/>
                          </a:xfrm>
                          <a:prstGeom prst="roundRect">
                            <a:avLst>
                              <a:gd name="adj" fmla="val 16667"/>
                            </a:avLst>
                          </a:prstGeom>
                          <a:solidFill>
                            <a:srgbClr val="FFFFFF"/>
                          </a:solidFill>
                          <a:ln w="9525">
                            <a:solidFill>
                              <a:srgbClr val="000000"/>
                            </a:solidFill>
                            <a:round/>
                          </a:ln>
                        </wps:spPr>
                        <wps:txb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wps:txbx>
                        <wps:bodyPr rot="0" vert="horz" wrap="square" lIns="91440" tIns="45720" rIns="91440" bIns="45720" anchor="t" anchorCtr="0" upright="1">
                          <a:noAutofit/>
                        </wps:bodyPr>
                      </wps:wsp>
                      <wps:wsp>
                        <wps:cNvPr id="7" name="自选图形 68"/>
                        <wps:cNvSpPr>
                          <a:spLocks noChangeArrowheads="1"/>
                        </wps:cNvSpPr>
                        <wps:spPr bwMode="auto">
                          <a:xfrm>
                            <a:off x="6555" y="5789"/>
                            <a:ext cx="2794" cy="1525"/>
                          </a:xfrm>
                          <a:prstGeom prst="roundRect">
                            <a:avLst>
                              <a:gd name="adj" fmla="val 16667"/>
                            </a:avLst>
                          </a:prstGeom>
                          <a:solidFill>
                            <a:srgbClr val="FFFFFF"/>
                          </a:solidFill>
                          <a:ln w="9525">
                            <a:solidFill>
                              <a:srgbClr val="000000"/>
                            </a:solidFill>
                            <a:round/>
                          </a:ln>
                        </wps:spPr>
                        <wps:txb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1.4pt;margin-top:20.1pt;height:57.3pt;width:303.95pt;z-index:251659264;mso-width-relative:page;mso-height-relative:page;" coordorigin="3270,5789" coordsize="6079,1525" o:gfxdata="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fkG2w9kAAAAKAQAADwAAAAAAAAABACAAAAAiAAAAZHJzL2Rv&#10;d25yZXYueG1sUEsBAhQAFAAAAAgAh07iQDWBReDkAgAAnggAAA4AAAAAAAAAAQAgAAAAKAEAAGRy&#10;cy9lMm9Eb2MueG1sUEsFBgAAAAAGAAYAWQEAAH4GAAAAAA==&#10;">
                <o:lock v:ext="edit" aspectratio="f"/>
                <v:roundrect id="自选图形 67" o:spid="_x0000_s1026" o:spt="2" style="position:absolute;left:3270;top:5789;height:1525;width:2794;" fillcolor="#FFFFFF" filled="t" stroked="t" coordsize="21600,21600" arcsize="0.166666666666667" o:gfxdata="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eTtK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
                        <w:pPr>
                          <w:jc w:val="center"/>
                          <w:rPr>
                            <w:color w:val="FF0000"/>
                          </w:rPr>
                        </w:pPr>
                        <w:r>
                          <w:rPr>
                            <w:rFonts w:hint="eastAsia"/>
                            <w:color w:val="FF0000"/>
                          </w:rPr>
                          <w:t>授权代表身份证正面</w:t>
                        </w:r>
                      </w:p>
                      <w:p>
                        <w:pPr>
                          <w:jc w:val="center"/>
                          <w:rPr>
                            <w:color w:val="FF0000"/>
                            <w:szCs w:val="21"/>
                          </w:rPr>
                        </w:pPr>
                        <w:r>
                          <w:rPr>
                            <w:rFonts w:hint="eastAsia"/>
                            <w:color w:val="FF0000"/>
                          </w:rPr>
                          <w:t>扫描件</w:t>
                        </w:r>
                      </w:p>
                      <w:p/>
                    </w:txbxContent>
                  </v:textbox>
                </v:roundrect>
                <v:roundrect id="自选图形 68" o:spid="_x0000_s1026" o:spt="2" style="position:absolute;left:6555;top:5789;height:1525;width:2794;" fillcolor="#FFFFFF" filled="t" stroked="t" coordsize="21600,21600" arcsize="0.166666666666667" o:gfxdata="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7S60m8AAAA&#10;2gAAAA8AAAAAAAAAAQAgAAAAIgAAAGRycy9kb3ducmV2LnhtbFBLAQIUABQAAAAIAIdO4kAzLwWe&#10;OwAAADkAAAAQAAAAAAAAAAEAIAAAAAsBAABkcnMvc2hhcGV4bWwueG1sUEsFBgAAAAAGAAYAWwEA&#10;ALUDAAAAAA==&#10;">
                  <v:fill on="t" focussize="0,0"/>
                  <v:stroke color="#000000" joinstyle="round"/>
                  <v:imagedata o:title=""/>
                  <o:lock v:ext="edit" aspectratio="f"/>
                  <v:textbox>
                    <w:txbxContent>
                      <w:p>
                        <w:pPr>
                          <w:rPr>
                            <w:color w:val="FF0000"/>
                          </w:rPr>
                        </w:pPr>
                      </w:p>
                      <w:p>
                        <w:pPr>
                          <w:jc w:val="center"/>
                          <w:rPr>
                            <w:color w:val="FF0000"/>
                          </w:rPr>
                        </w:pPr>
                        <w:r>
                          <w:rPr>
                            <w:rFonts w:hint="eastAsia"/>
                            <w:color w:val="FF0000"/>
                          </w:rPr>
                          <w:t>授权代表身份证反面</w:t>
                        </w:r>
                      </w:p>
                      <w:p>
                        <w:pPr>
                          <w:jc w:val="center"/>
                          <w:rPr>
                            <w:color w:val="FF0000"/>
                            <w:szCs w:val="21"/>
                          </w:rPr>
                        </w:pPr>
                        <w:r>
                          <w:rPr>
                            <w:rFonts w:hint="eastAsia"/>
                            <w:color w:val="FF0000"/>
                          </w:rPr>
                          <w:t>扫描件</w:t>
                        </w:r>
                      </w:p>
                    </w:txbxContent>
                  </v:textbox>
                </v:roundrect>
              </v:group>
            </w:pict>
          </mc:Fallback>
        </mc:AlternateContent>
      </w:r>
    </w:p>
    <w:p>
      <w:pPr>
        <w:spacing w:line="360" w:lineRule="auto"/>
        <w:ind w:firstLine="645"/>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特此声明。</w:t>
      </w: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color w:val="000000" w:themeColor="text1"/>
          <w:sz w:val="24"/>
          <w:szCs w:val="28"/>
          <w14:textFill>
            <w14:solidFill>
              <w14:schemeClr w14:val="tx1"/>
            </w14:solidFill>
          </w14:textFill>
        </w:rPr>
      </w:pPr>
    </w:p>
    <w:p>
      <w:pPr>
        <w:spacing w:line="360" w:lineRule="auto"/>
        <w:rPr>
          <w:rFonts w:ascii="宋体" w:hAnsi="宋体"/>
          <w:b/>
          <w:bCs/>
          <w:color w:val="000000" w:themeColor="text1"/>
          <w:sz w:val="24"/>
          <w:szCs w:val="28"/>
          <w14:textFill>
            <w14:solidFill>
              <w14:schemeClr w14:val="tx1"/>
            </w14:solidFill>
          </w14:textFill>
        </w:rPr>
      </w:pPr>
      <w:r>
        <w:rPr>
          <w:rFonts w:hint="eastAsia" w:ascii="宋体" w:hAnsi="宋体"/>
          <w:b/>
          <w:bCs/>
          <w:color w:val="000000" w:themeColor="text1"/>
          <w:sz w:val="24"/>
          <w:szCs w:val="28"/>
          <w14:textFill>
            <w14:solidFill>
              <w14:schemeClr w14:val="tx1"/>
            </w14:solidFill>
          </w14:textFill>
        </w:rPr>
        <w:t>投标人(公章)：</w:t>
      </w:r>
      <w:r>
        <w:rPr>
          <w:rFonts w:hint="eastAsia" w:ascii="宋体" w:hAnsi="宋体"/>
          <w:b/>
          <w:bCs/>
          <w:color w:val="000000" w:themeColor="text1"/>
          <w:sz w:val="24"/>
          <w:szCs w:val="28"/>
          <w:u w:val="single"/>
          <w14:textFill>
            <w14:solidFill>
              <w14:schemeClr w14:val="tx1"/>
            </w14:solidFill>
          </w14:textFill>
        </w:rPr>
        <w:t xml:space="preserve">                    </w:t>
      </w:r>
    </w:p>
    <w:p>
      <w:pPr>
        <w:spacing w:line="360" w:lineRule="auto"/>
        <w:rPr>
          <w:rFonts w:ascii="宋体" w:hAnsi="宋体"/>
          <w:color w:val="000000" w:themeColor="text1"/>
          <w:sz w:val="24"/>
          <w:szCs w:val="28"/>
          <w14:textFill>
            <w14:solidFill>
              <w14:schemeClr w14:val="tx1"/>
            </w14:solidFill>
          </w14:textFill>
        </w:rPr>
      </w:pPr>
      <w:r>
        <w:rPr>
          <w:rFonts w:hint="eastAsia" w:ascii="宋体" w:hAnsi="宋体"/>
          <w:color w:val="000000" w:themeColor="text1"/>
          <w:sz w:val="24"/>
          <w:szCs w:val="28"/>
          <w14:textFill>
            <w14:solidFill>
              <w14:schemeClr w14:val="tx1"/>
            </w14:solidFill>
          </w14:textFill>
        </w:rPr>
        <w:t xml:space="preserve">日        期： </w:t>
      </w:r>
      <w:r>
        <w:rPr>
          <w:rFonts w:hint="eastAsia" w:ascii="宋体" w:hAnsi="宋体"/>
          <w:color w:val="000000" w:themeColor="text1"/>
          <w:sz w:val="24"/>
          <w:szCs w:val="28"/>
          <w:u w:val="single"/>
          <w14:textFill>
            <w14:solidFill>
              <w14:schemeClr w14:val="tx1"/>
            </w14:solidFill>
          </w14:textFill>
        </w:rPr>
        <w:t xml:space="preserve">                   </w:t>
      </w:r>
    </w:p>
    <w:p>
      <w:pPr>
        <w:rPr>
          <w:rFonts w:ascii="宋体" w:hAnsi="宋体"/>
          <w:color w:val="000000" w:themeColor="text1"/>
          <w:sz w:val="28"/>
          <w:szCs w:val="28"/>
          <w14:textFill>
            <w14:solidFill>
              <w14:schemeClr w14:val="tx1"/>
            </w14:solidFill>
          </w14:textFill>
        </w:rPr>
      </w:pP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注：</w:t>
      </w:r>
    </w:p>
    <w:p>
      <w:pPr>
        <w:snapToGrid w:val="0"/>
        <w:spacing w:line="360" w:lineRule="auto"/>
        <w:jc w:val="left"/>
        <w:rPr>
          <w:rFonts w:ascii="宋体" w:hAnsi="宋体"/>
          <w:color w:val="000000" w:themeColor="text1"/>
          <w:sz w:val="24"/>
          <w:szCs w:val="28"/>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1.本项目只允许有唯一的投标人授权代表（须与投标函中授权代表为同一人，否则投标无效），投标文件中提供授权代表身份证</w:t>
      </w:r>
      <w:r>
        <w:rPr>
          <w:rFonts w:hint="eastAsia" w:ascii="宋体" w:hAnsi="宋体"/>
          <w:color w:val="000000" w:themeColor="text1"/>
          <w:sz w:val="24"/>
          <w:szCs w:val="20"/>
          <w:lang w:val="zh-CN"/>
          <w14:textFill>
            <w14:solidFill>
              <w14:schemeClr w14:val="tx1"/>
            </w14:solidFill>
          </w14:textFill>
        </w:rPr>
        <w:t>扫描件</w:t>
      </w:r>
      <w:r>
        <w:rPr>
          <w:rFonts w:hint="eastAsia" w:ascii="宋体" w:hAnsi="宋体"/>
          <w:color w:val="000000" w:themeColor="text1"/>
          <w:sz w:val="24"/>
          <w:szCs w:val="28"/>
          <w:lang w:val="zh-CN"/>
          <w14:textFill>
            <w14:solidFill>
              <w14:schemeClr w14:val="tx1"/>
            </w14:solidFill>
          </w14:textFill>
        </w:rPr>
        <w:t>。</w:t>
      </w:r>
    </w:p>
    <w:p>
      <w:pPr>
        <w:snapToGrid w:val="0"/>
        <w:spacing w:line="360" w:lineRule="auto"/>
        <w:jc w:val="left"/>
        <w:rPr>
          <w:rFonts w:ascii="宋体" w:hAnsi="宋体"/>
          <w:color w:val="000000" w:themeColor="text1"/>
          <w:sz w:val="24"/>
          <w:szCs w:val="24"/>
          <w:lang w:val="zh-CN"/>
          <w14:textFill>
            <w14:solidFill>
              <w14:schemeClr w14:val="tx1"/>
            </w14:solidFill>
          </w14:textFill>
        </w:rPr>
      </w:pPr>
      <w:r>
        <w:rPr>
          <w:rFonts w:hint="eastAsia" w:ascii="宋体" w:hAnsi="宋体"/>
          <w:color w:val="000000" w:themeColor="text1"/>
          <w:sz w:val="24"/>
          <w:szCs w:val="28"/>
          <w:lang w:val="zh-CN"/>
          <w14:textFill>
            <w14:solidFill>
              <w14:schemeClr w14:val="tx1"/>
            </w14:solidFill>
          </w14:textFill>
        </w:rPr>
        <w:t>2.法定代表人参加投标的无需此件，</w:t>
      </w:r>
      <w:r>
        <w:rPr>
          <w:rFonts w:hint="eastAsia" w:ascii="宋体" w:hAnsi="宋体"/>
          <w:color w:val="000000" w:themeColor="text1"/>
          <w:sz w:val="24"/>
          <w:szCs w:val="20"/>
          <w:lang w:val="zh-CN"/>
          <w14:textFill>
            <w14:solidFill>
              <w14:schemeClr w14:val="tx1"/>
            </w14:solidFill>
          </w14:textFill>
        </w:rPr>
        <w:t>但投标文件中须提供身份证扫描件。</w:t>
      </w: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adjustRightInd w:val="0"/>
        <w:snapToGrid w:val="0"/>
        <w:spacing w:line="360" w:lineRule="auto"/>
        <w:rPr>
          <w:rFonts w:ascii="宋体" w:hAnsi="宋体" w:cs="宋体"/>
          <w:b/>
          <w:bCs/>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3" w:name="_Toc7078094"/>
      <w:bookmarkStart w:id="104" w:name="_Toc536542360"/>
      <w:bookmarkStart w:id="105" w:name="_Toc6570"/>
      <w:bookmarkStart w:id="106" w:name="_Toc14779"/>
      <w:r>
        <w:rPr>
          <w:rFonts w:hint="eastAsia" w:ascii="宋体" w:hAnsi="宋体" w:cs="宋体"/>
          <w:b/>
          <w:bCs/>
          <w:color w:val="000000" w:themeColor="text1"/>
          <w:sz w:val="28"/>
          <w:szCs w:val="28"/>
          <w:lang w:val="zh-CN"/>
          <w14:textFill>
            <w14:solidFill>
              <w14:schemeClr w14:val="tx1"/>
            </w14:solidFill>
          </w14:textFill>
        </w:rPr>
        <w:t>七．投标人信用承诺</w:t>
      </w:r>
      <w:bookmarkEnd w:id="95"/>
      <w:bookmarkEnd w:id="96"/>
      <w:bookmarkEnd w:id="103"/>
      <w:bookmarkEnd w:id="104"/>
      <w:bookmarkEnd w:id="105"/>
      <w:bookmarkEnd w:id="106"/>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我公司申明，我公司无以下不良信用记录情形：</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1.公司被人民法院列入失信被执行人；</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2.公司、公司法定代表人被人民检察院列入行贿犯罪档案；</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3.公司被工商行政管理部门列入企业经营异常名录；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4.公司被税务部门列入重大税收违法案件当事人名单的；</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 参加本次投标活动前三年内，在服务活动中没有重大违法及安全事故记录。</w:t>
      </w:r>
    </w:p>
    <w:p>
      <w:pPr>
        <w:spacing w:line="360" w:lineRule="auto"/>
        <w:ind w:firstLine="63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我公司已就上述不良信用行为按照招标文件规定进行了查询，并在投标文件中如实提供查询截图及相关证明。我公司承诺：合同签订前，若我公司具有不良信用记录情形，贵方可取消我公司中标资格或者不授予合同，所有责任由我公司自行承担。同时，我公司愿意无条件接受监管部门的调查处理。 </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投标人（公章）：</w:t>
      </w: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p>
      <w:pPr>
        <w:spacing w:line="360" w:lineRule="auto"/>
        <w:ind w:firstLine="630"/>
        <w:rPr>
          <w:rFonts w:ascii="宋体" w:hAnsi="宋体" w:cs="宋体"/>
          <w:b/>
          <w:color w:val="000000" w:themeColor="text1"/>
          <w:sz w:val="24"/>
          <w:szCs w:val="24"/>
          <w14:textFill>
            <w14:solidFill>
              <w14:schemeClr w14:val="tx1"/>
            </w14:solidFill>
          </w14:textFill>
        </w:rPr>
      </w:pPr>
    </w:p>
    <w:bookmarkEnd w:id="97"/>
    <w:p>
      <w:pPr>
        <w:keepNext/>
        <w:keepLines/>
        <w:spacing w:before="260" w:after="260" w:line="416" w:lineRule="auto"/>
        <w:jc w:val="center"/>
        <w:outlineLvl w:val="2"/>
        <w:rPr>
          <w:rFonts w:ascii="宋体" w:hAnsi="宋体" w:cs="宋体"/>
          <w:b/>
          <w:bCs/>
          <w:color w:val="000000" w:themeColor="text1"/>
          <w:sz w:val="28"/>
          <w:szCs w:val="28"/>
          <w:lang w:val="zh-CN"/>
          <w14:textFill>
            <w14:solidFill>
              <w14:schemeClr w14:val="tx1"/>
            </w14:solidFill>
          </w14:textFill>
        </w:rPr>
      </w:pPr>
      <w:bookmarkStart w:id="107" w:name="_Hlt509738950"/>
      <w:bookmarkEnd w:id="107"/>
      <w:bookmarkStart w:id="108" w:name="_Toc496587831"/>
      <w:bookmarkStart w:id="109" w:name="_Toc2056"/>
      <w:bookmarkStart w:id="110" w:name="_Toc7078095"/>
      <w:bookmarkStart w:id="111" w:name="_Toc536542361"/>
      <w:bookmarkStart w:id="112" w:name="_Toc24259"/>
      <w:r>
        <w:rPr>
          <w:rFonts w:hint="eastAsia" w:ascii="宋体" w:hAnsi="宋体" w:cs="宋体"/>
          <w:b/>
          <w:bCs/>
          <w:color w:val="000000" w:themeColor="text1"/>
          <w:sz w:val="28"/>
          <w:szCs w:val="28"/>
          <w:lang w:val="zh-CN"/>
          <w14:textFill>
            <w14:solidFill>
              <w14:schemeClr w14:val="tx1"/>
            </w14:solidFill>
          </w14:textFill>
        </w:rPr>
        <w:t>八.</w:t>
      </w:r>
      <w:bookmarkEnd w:id="108"/>
      <w:r>
        <w:rPr>
          <w:rFonts w:hint="eastAsia" w:ascii="宋体" w:hAnsi="宋体" w:cs="宋体"/>
          <w:b/>
          <w:bCs/>
          <w:color w:val="000000" w:themeColor="text1"/>
          <w:sz w:val="28"/>
          <w:szCs w:val="28"/>
          <w:lang w:val="zh-CN"/>
          <w14:textFill>
            <w14:solidFill>
              <w14:schemeClr w14:val="tx1"/>
            </w14:solidFill>
          </w14:textFill>
        </w:rPr>
        <w:t xml:space="preserve"> 投标业绩</w:t>
      </w:r>
      <w:bookmarkEnd w:id="109"/>
      <w:bookmarkEnd w:id="110"/>
      <w:bookmarkEnd w:id="111"/>
      <w:bookmarkEnd w:id="112"/>
    </w:p>
    <w:p>
      <w:pPr>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（一）业绩表</w:t>
      </w:r>
    </w:p>
    <w:p>
      <w:pPr>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（格式仅供参考）</w:t>
      </w:r>
    </w:p>
    <w:tbl>
      <w:tblPr>
        <w:tblStyle w:val="50"/>
        <w:tblW w:w="10059"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559"/>
        <w:gridCol w:w="2410"/>
        <w:gridCol w:w="1559"/>
        <w:gridCol w:w="2551"/>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项目名称</w:t>
            </w:r>
          </w:p>
        </w:tc>
        <w:tc>
          <w:tcPr>
            <w:tcW w:w="2410" w:type="dxa"/>
            <w:vAlign w:val="center"/>
          </w:tcPr>
          <w:p>
            <w:pPr>
              <w:widowControl/>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服务内容</w:t>
            </w:r>
          </w:p>
        </w:tc>
        <w:tc>
          <w:tcPr>
            <w:tcW w:w="1559"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合同总金额</w:t>
            </w:r>
          </w:p>
        </w:tc>
        <w:tc>
          <w:tcPr>
            <w:tcW w:w="2551"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业主单位及联系电话</w:t>
            </w:r>
          </w:p>
        </w:tc>
        <w:tc>
          <w:tcPr>
            <w:tcW w:w="1134"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0059" w:type="dxa"/>
            <w:gridSpan w:val="6"/>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初审业绩（资格门槛业绩）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w:t>
            </w: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410"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559"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2551" w:type="dxa"/>
            <w:vAlign w:val="center"/>
          </w:tcPr>
          <w:p>
            <w:pPr>
              <w:spacing w:line="360" w:lineRule="auto"/>
              <w:rPr>
                <w:rFonts w:ascii="宋体" w:hAnsi="宋体" w:cs="宋体"/>
                <w:color w:val="000000" w:themeColor="text1"/>
                <w:sz w:val="24"/>
                <w:szCs w:val="24"/>
                <w14:textFill>
                  <w14:solidFill>
                    <w14:schemeClr w14:val="tx1"/>
                  </w14:solidFill>
                </w14:textFill>
              </w:rPr>
            </w:pPr>
          </w:p>
        </w:tc>
        <w:tc>
          <w:tcPr>
            <w:tcW w:w="1134" w:type="dxa"/>
            <w:vAlign w:val="center"/>
          </w:tcPr>
          <w:p>
            <w:pPr>
              <w:spacing w:line="360" w:lineRule="auto"/>
              <w:rPr>
                <w:rFonts w:ascii="宋体" w:hAnsi="宋体" w:cs="宋体"/>
                <w:color w:val="000000" w:themeColor="text1"/>
                <w:sz w:val="24"/>
                <w:szCs w:val="24"/>
                <w14:textFill>
                  <w14:solidFill>
                    <w14:schemeClr w14:val="tx1"/>
                  </w14:solidFill>
                </w14:textFill>
              </w:rPr>
            </w:pPr>
          </w:p>
        </w:tc>
      </w:tr>
    </w:tbl>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（二）业绩证明材料</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（建议与上述“（一）业绩表”填写的业绩一一对应提供）</w:t>
      </w: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rPr>
          <w:rFonts w:ascii="宋体" w:hAnsi="宋体" w:cs="宋体"/>
          <w:color w:val="000000" w:themeColor="text1"/>
          <w:sz w:val="24"/>
          <w:szCs w:val="24"/>
          <w14:textFill>
            <w14:solidFill>
              <w14:schemeClr w14:val="tx1"/>
            </w14:solidFill>
          </w14:textFill>
        </w:rPr>
      </w:pPr>
    </w:p>
    <w:p>
      <w:pPr>
        <w:spacing w:before="48" w:beforeLines="20" w:after="48" w:afterLines="20" w:line="360" w:lineRule="auto"/>
        <w:jc w:val="center"/>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pStyle w:val="58"/>
        <w:rPr>
          <w:rFonts w:ascii="宋体" w:hAnsi="宋体" w:cs="宋体"/>
          <w:color w:val="000000" w:themeColor="text1"/>
          <w:sz w:val="24"/>
          <w:szCs w:val="24"/>
          <w14:textFill>
            <w14:solidFill>
              <w14:schemeClr w14:val="tx1"/>
            </w14:solidFill>
          </w14:textFill>
        </w:rPr>
      </w:pPr>
    </w:p>
    <w:p>
      <w:pPr>
        <w:keepNext/>
        <w:keepLines/>
        <w:spacing w:before="260" w:after="260" w:line="416" w:lineRule="auto"/>
        <w:jc w:val="center"/>
        <w:outlineLvl w:val="2"/>
        <w:rPr>
          <w:rFonts w:ascii="宋体" w:hAnsi="宋体"/>
          <w:b/>
          <w:bCs/>
          <w:color w:val="000000" w:themeColor="text1"/>
          <w:sz w:val="28"/>
          <w:szCs w:val="36"/>
          <w:lang w:val="zh-CN"/>
          <w14:textFill>
            <w14:solidFill>
              <w14:schemeClr w14:val="tx1"/>
            </w14:solidFill>
          </w14:textFill>
        </w:rPr>
      </w:pPr>
      <w:bookmarkStart w:id="113" w:name="_Toc7078096"/>
      <w:bookmarkStart w:id="114" w:name="_Toc12076"/>
      <w:bookmarkStart w:id="115" w:name="_Toc220232402"/>
      <w:bookmarkStart w:id="116" w:name="_Toc536542362"/>
      <w:bookmarkStart w:id="117" w:name="_Toc471736419"/>
      <w:bookmarkStart w:id="118" w:name="_Toc516969105"/>
      <w:bookmarkStart w:id="119" w:name="_Toc16606"/>
      <w:r>
        <w:rPr>
          <w:rFonts w:hint="eastAsia" w:ascii="宋体" w:hAnsi="宋体"/>
          <w:b/>
          <w:bCs/>
          <w:color w:val="000000" w:themeColor="text1"/>
          <w:sz w:val="28"/>
          <w:szCs w:val="32"/>
          <w:lang w:val="zh-CN"/>
          <w14:textFill>
            <w14:solidFill>
              <w14:schemeClr w14:val="tx1"/>
            </w14:solidFill>
          </w14:textFill>
        </w:rPr>
        <w:t>九．有关证明文件</w:t>
      </w:r>
      <w:bookmarkEnd w:id="113"/>
      <w:bookmarkEnd w:id="114"/>
      <w:bookmarkEnd w:id="115"/>
      <w:bookmarkEnd w:id="116"/>
      <w:bookmarkEnd w:id="117"/>
      <w:bookmarkEnd w:id="118"/>
      <w:bookmarkEnd w:id="119"/>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提供符合投标邀请、招标需求及评标办法规定的相关证明文件（制作成扫描件）。</w:t>
      </w:r>
    </w:p>
    <w:p>
      <w:pPr>
        <w:snapToGrid w:val="0"/>
        <w:spacing w:before="120" w:after="120" w:line="360" w:lineRule="auto"/>
        <w:ind w:firstLine="480"/>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特别提示：</w:t>
      </w:r>
    </w:p>
    <w:p>
      <w:pPr>
        <w:snapToGrid w:val="0"/>
        <w:spacing w:line="360" w:lineRule="auto"/>
        <w:ind w:firstLine="482"/>
        <w:jc w:val="left"/>
        <w:rPr>
          <w:rFonts w:ascii="宋体" w:hAnsi="宋体"/>
          <w:color w:val="000000" w:themeColor="text1"/>
          <w:sz w:val="24"/>
          <w:szCs w:val="20"/>
          <w:lang w:val="zh-CN"/>
          <w14:textFill>
            <w14:solidFill>
              <w14:schemeClr w14:val="tx1"/>
            </w14:solidFill>
          </w14:textFill>
        </w:rPr>
      </w:pPr>
      <w:r>
        <w:rPr>
          <w:rFonts w:hint="eastAsia" w:ascii="宋体" w:hAnsi="宋体"/>
          <w:color w:val="000000" w:themeColor="text1"/>
          <w:sz w:val="24"/>
          <w:szCs w:val="20"/>
          <w:lang w:val="zh-CN"/>
          <w14:textFill>
            <w14:solidFill>
              <w14:schemeClr w14:val="tx1"/>
            </w14:solidFill>
          </w14:textFill>
        </w:rPr>
        <w:t>投标人在投标文件制作时，提供下列材料（包括但不限于）：</w:t>
      </w:r>
    </w:p>
    <w:p>
      <w:pPr>
        <w:tabs>
          <w:tab w:val="left" w:pos="4620"/>
        </w:tabs>
        <w:spacing w:line="360" w:lineRule="auto"/>
        <w:ind w:firstLine="482" w:firstLineChars="200"/>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招标文件要求的其他证明资料</w:t>
      </w:r>
      <w:r>
        <w:rPr>
          <w:rFonts w:hint="eastAsia" w:ascii="宋体" w:hAnsi="宋体" w:cs="Cambria"/>
          <w:b/>
          <w:color w:val="000000" w:themeColor="text1"/>
          <w:sz w:val="24"/>
          <w14:textFill>
            <w14:solidFill>
              <w14:schemeClr w14:val="tx1"/>
            </w14:solidFill>
          </w14:textFill>
        </w:rPr>
        <w:t>（根据项目要求编辑）</w:t>
      </w:r>
      <w:r>
        <w:rPr>
          <w:rFonts w:hint="eastAsia" w:ascii="宋体" w:hAnsi="宋体"/>
          <w:b/>
          <w:color w:val="000000" w:themeColor="text1"/>
          <w:sz w:val="24"/>
          <w:szCs w:val="24"/>
          <w14:textFill>
            <w14:solidFill>
              <w14:schemeClr w14:val="tx1"/>
            </w14:solidFill>
          </w14:textFill>
        </w:rPr>
        <w:t>，</w:t>
      </w:r>
      <w:r>
        <w:rPr>
          <w:rFonts w:ascii="宋体" w:hAnsi="宋体"/>
          <w:b/>
          <w:color w:val="000000" w:themeColor="text1"/>
          <w:sz w:val="24"/>
          <w:szCs w:val="24"/>
          <w14:textFill>
            <w14:solidFill>
              <w14:schemeClr w14:val="tx1"/>
            </w14:solidFill>
          </w14:textFill>
        </w:rPr>
        <w:t>如</w:t>
      </w:r>
      <w:r>
        <w:rPr>
          <w:rFonts w:hint="eastAsia" w:ascii="宋体" w:hAnsi="宋体"/>
          <w:b/>
          <w:color w:val="000000" w:themeColor="text1"/>
          <w:sz w:val="24"/>
          <w:szCs w:val="24"/>
          <w14:textFill>
            <w14:solidFill>
              <w14:schemeClr w14:val="tx1"/>
            </w14:solidFill>
          </w14:textFill>
        </w:rPr>
        <w:t>营业执照</w:t>
      </w:r>
      <w:r>
        <w:rPr>
          <w:rFonts w:ascii="宋体" w:hAnsi="宋体"/>
          <w:b/>
          <w:color w:val="000000" w:themeColor="text1"/>
          <w:sz w:val="24"/>
          <w:szCs w:val="24"/>
          <w14:textFill>
            <w14:solidFill>
              <w14:schemeClr w14:val="tx1"/>
            </w14:solidFill>
          </w14:textFill>
        </w:rPr>
        <w:t>、税务登记证</w:t>
      </w:r>
      <w:r>
        <w:rPr>
          <w:rFonts w:hint="eastAsia" w:ascii="宋体" w:hAnsi="宋体"/>
          <w:b/>
          <w:color w:val="000000" w:themeColor="text1"/>
          <w:sz w:val="24"/>
          <w:szCs w:val="24"/>
          <w14:textFill>
            <w14:solidFill>
              <w14:schemeClr w14:val="tx1"/>
            </w14:solidFill>
          </w14:textFill>
        </w:rPr>
        <w:t>、业绩、相关证书、证明资料</w:t>
      </w:r>
      <w:r>
        <w:rPr>
          <w:rFonts w:ascii="宋体" w:hAnsi="宋体"/>
          <w:b/>
          <w:color w:val="000000" w:themeColor="text1"/>
          <w:sz w:val="24"/>
          <w:szCs w:val="24"/>
          <w14:textFill>
            <w14:solidFill>
              <w14:schemeClr w14:val="tx1"/>
            </w14:solidFill>
          </w14:textFill>
        </w:rPr>
        <w:t>等</w:t>
      </w:r>
      <w:r>
        <w:rPr>
          <w:rFonts w:hint="eastAsia" w:ascii="宋体" w:hAnsi="宋体"/>
          <w:b/>
          <w:color w:val="000000" w:themeColor="text1"/>
          <w:sz w:val="24"/>
          <w:szCs w:val="24"/>
          <w14:textFill>
            <w14:solidFill>
              <w14:schemeClr w14:val="tx1"/>
            </w14:solidFill>
          </w14:textFill>
        </w:rPr>
        <w:t>，</w:t>
      </w:r>
      <w:r>
        <w:rPr>
          <w:rFonts w:hint="eastAsia" w:ascii="宋体" w:hAnsi="宋体"/>
          <w:color w:val="000000" w:themeColor="text1"/>
          <w:sz w:val="24"/>
          <w14:textFill>
            <w14:solidFill>
              <w14:schemeClr w14:val="tx1"/>
            </w14:solidFill>
          </w14:textFill>
        </w:rPr>
        <w:t>应将上述证明材料制作成扫描件。</w:t>
      </w:r>
    </w:p>
    <w:p>
      <w:pPr>
        <w:tabs>
          <w:tab w:val="left" w:pos="4620"/>
        </w:tabs>
        <w:spacing w:line="360" w:lineRule="auto"/>
        <w:ind w:firstLine="480" w:firstLineChars="200"/>
        <w:rPr>
          <w:rFonts w:ascii="宋体" w:hAnsi="宋体"/>
          <w:color w:val="000000" w:themeColor="text1"/>
          <w:sz w:val="24"/>
          <w14:textFill>
            <w14:solidFill>
              <w14:schemeClr w14:val="tx1"/>
            </w14:solidFill>
          </w14:textFill>
        </w:rPr>
      </w:pPr>
    </w:p>
    <w:p>
      <w:pPr>
        <w:keepNext/>
        <w:keepLines/>
        <w:spacing w:before="260" w:after="260" w:line="416" w:lineRule="auto"/>
        <w:ind w:firstLine="3654" w:firstLineChars="1300"/>
        <w:jc w:val="both"/>
        <w:outlineLvl w:val="2"/>
        <w:rPr>
          <w:rFonts w:ascii="宋体" w:hAnsi="宋体"/>
          <w:color w:val="000000" w:themeColor="text1"/>
          <w:sz w:val="32"/>
          <w:szCs w:val="32"/>
          <w14:textFill>
            <w14:solidFill>
              <w14:schemeClr w14:val="tx1"/>
            </w14:solidFill>
          </w14:textFill>
        </w:rPr>
      </w:pPr>
      <w:bookmarkStart w:id="120" w:name="_Toc32245"/>
      <w:bookmarkStart w:id="121" w:name="_Toc6203"/>
      <w:bookmarkStart w:id="122" w:name="_Toc515390553"/>
      <w:r>
        <w:rPr>
          <w:rFonts w:hint="eastAsia" w:ascii="宋体" w:hAnsi="宋体"/>
          <w:b/>
          <w:bCs/>
          <w:color w:val="000000" w:themeColor="text1"/>
          <w:sz w:val="28"/>
          <w:szCs w:val="32"/>
          <w:lang w:val="zh-CN"/>
          <w14:textFill>
            <w14:solidFill>
              <w14:schemeClr w14:val="tx1"/>
            </w14:solidFill>
          </w14:textFill>
        </w:rPr>
        <w:t>十．</w:t>
      </w:r>
      <w:bookmarkStart w:id="123" w:name="_Toc459990161"/>
      <w:bookmarkStart w:id="124" w:name="_Toc420342112"/>
      <w:r>
        <w:rPr>
          <w:rFonts w:hint="eastAsia" w:ascii="宋体" w:hAnsi="宋体"/>
          <w:b/>
          <w:bCs/>
          <w:color w:val="000000" w:themeColor="text1"/>
          <w:sz w:val="28"/>
          <w:szCs w:val="32"/>
          <w:lang w:val="zh-CN"/>
          <w14:textFill>
            <w14:solidFill>
              <w14:schemeClr w14:val="tx1"/>
            </w14:solidFill>
          </w14:textFill>
        </w:rPr>
        <w:t>项目人员配备</w:t>
      </w:r>
      <w:bookmarkEnd w:id="120"/>
      <w:bookmarkEnd w:id="121"/>
      <w:bookmarkEnd w:id="122"/>
      <w:bookmarkEnd w:id="123"/>
      <w:bookmarkEnd w:id="124"/>
    </w:p>
    <w:tbl>
      <w:tblPr>
        <w:tblStyle w:val="50"/>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701"/>
        <w:gridCol w:w="1178"/>
        <w:gridCol w:w="151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jc w:val="center"/>
        </w:trPr>
        <w:tc>
          <w:tcPr>
            <w:tcW w:w="1809"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职务</w:t>
            </w:r>
          </w:p>
        </w:tc>
        <w:tc>
          <w:tcPr>
            <w:tcW w:w="1701"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姓名</w:t>
            </w:r>
          </w:p>
        </w:tc>
        <w:tc>
          <w:tcPr>
            <w:tcW w:w="117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职称</w:t>
            </w: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学历</w:t>
            </w:r>
          </w:p>
        </w:tc>
        <w:tc>
          <w:tcPr>
            <w:tcW w:w="2268" w:type="dxa"/>
            <w:vAlign w:val="center"/>
          </w:tcPr>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项目经理</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技术负责人</w:t>
            </w: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其它人员</w:t>
            </w:r>
          </w:p>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809"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701"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178"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1516" w:type="dxa"/>
            <w:vAlign w:val="center"/>
          </w:tcPr>
          <w:p>
            <w:pPr>
              <w:spacing w:line="340" w:lineRule="exact"/>
              <w:jc w:val="center"/>
              <w:rPr>
                <w:rFonts w:ascii="宋体" w:hAnsi="宋体"/>
                <w:color w:val="000000" w:themeColor="text1"/>
                <w:sz w:val="24"/>
                <w14:textFill>
                  <w14:solidFill>
                    <w14:schemeClr w14:val="tx1"/>
                  </w14:solidFill>
                </w14:textFill>
              </w:rPr>
            </w:pPr>
          </w:p>
        </w:tc>
        <w:tc>
          <w:tcPr>
            <w:tcW w:w="2268" w:type="dxa"/>
            <w:vAlign w:val="center"/>
          </w:tcPr>
          <w:p>
            <w:pPr>
              <w:spacing w:line="340" w:lineRule="exact"/>
              <w:jc w:val="center"/>
              <w:rPr>
                <w:rFonts w:ascii="宋体" w:hAnsi="宋体"/>
                <w:color w:val="000000" w:themeColor="text1"/>
                <w:sz w:val="24"/>
                <w14:textFill>
                  <w14:solidFill>
                    <w14:schemeClr w14:val="tx1"/>
                  </w14:solidFill>
                </w14:textFill>
              </w:rPr>
            </w:pPr>
          </w:p>
        </w:tc>
      </w:tr>
    </w:tbl>
    <w:p>
      <w:pPr>
        <w:autoSpaceDE w:val="0"/>
        <w:autoSpaceDN w:val="0"/>
        <w:adjustRightInd w:val="0"/>
        <w:spacing w:line="360" w:lineRule="auto"/>
        <w:ind w:firstLine="482" w:firstLineChars="200"/>
        <w:rPr>
          <w:rFonts w:hint="eastAsia" w:ascii="宋体" w:hAnsi="宋体"/>
          <w:b/>
          <w:color w:val="000000" w:themeColor="text1"/>
          <w:sz w:val="24"/>
          <w14:textFill>
            <w14:solidFill>
              <w14:schemeClr w14:val="tx1"/>
            </w14:solidFill>
          </w14:textFill>
        </w:rPr>
      </w:pPr>
    </w:p>
    <w:p>
      <w:pPr>
        <w:autoSpaceDE w:val="0"/>
        <w:autoSpaceDN w:val="0"/>
        <w:adjustRightInd w:val="0"/>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投标人签章：</w:t>
      </w:r>
    </w:p>
    <w:p>
      <w:pPr>
        <w:spacing w:line="360" w:lineRule="auto"/>
        <w:ind w:firstLine="420" w:firstLineChars="200"/>
        <w:rPr>
          <w:rFonts w:hint="eastAsia" w:ascii="宋体" w:hAnsi="宋体"/>
          <w:color w:val="000000" w:themeColor="text1"/>
          <w14:textFill>
            <w14:solidFill>
              <w14:schemeClr w14:val="tx1"/>
            </w14:solidFill>
          </w14:textFill>
        </w:rPr>
      </w:pPr>
    </w:p>
    <w:p>
      <w:pPr>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备注：</w:t>
      </w:r>
    </w:p>
    <w:p>
      <w:pPr>
        <w:adjustRightInd w:val="0"/>
        <w:spacing w:line="360" w:lineRule="auto"/>
        <w:ind w:firstLine="480" w:firstLineChars="200"/>
        <w:textAlignment w:val="baseline"/>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 管理机构的主要人员（项目</w:t>
      </w:r>
      <w:r>
        <w:rPr>
          <w:rFonts w:hint="eastAsia" w:ascii="宋体" w:hAnsi="宋体"/>
          <w:color w:val="000000" w:themeColor="text1"/>
          <w:sz w:val="24"/>
          <w14:textFill>
            <w14:solidFill>
              <w14:schemeClr w14:val="tx1"/>
            </w14:solidFill>
          </w14:textFill>
        </w:rPr>
        <w:t>经理</w:t>
      </w:r>
      <w:r>
        <w:rPr>
          <w:rFonts w:hint="eastAsia" w:ascii="宋体" w:hAnsi="宋体"/>
          <w:bCs/>
          <w:color w:val="000000" w:themeColor="text1"/>
          <w:sz w:val="24"/>
          <w:szCs w:val="24"/>
          <w14:textFill>
            <w14:solidFill>
              <w14:schemeClr w14:val="tx1"/>
            </w14:solidFill>
          </w14:textFill>
        </w:rPr>
        <w:t>）按招标文件要求附资质证书等证明资料扫描件；</w:t>
      </w:r>
    </w:p>
    <w:p>
      <w:pPr>
        <w:adjustRightInd w:val="0"/>
        <w:spacing w:line="360" w:lineRule="auto"/>
        <w:ind w:firstLine="480" w:firstLineChars="200"/>
        <w:textAlignment w:val="baseline"/>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2.中标后如需更换管理机构主要人员，需书面向招标人提出，并获得书面同意后方可更换；</w:t>
      </w:r>
    </w:p>
    <w:p>
      <w:pPr>
        <w:rPr>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bookmarkStart w:id="125" w:name="_Toc420342107"/>
      <w:bookmarkStart w:id="126" w:name="_Toc459990156"/>
      <w:bookmarkStart w:id="127" w:name="_Toc391040780"/>
      <w:bookmarkStart w:id="128" w:name="_Toc390243257"/>
      <w:bookmarkStart w:id="129" w:name="_Toc471736426"/>
    </w:p>
    <w:bookmarkEnd w:id="125"/>
    <w:bookmarkEnd w:id="126"/>
    <w:bookmarkEnd w:id="127"/>
    <w:bookmarkEnd w:id="128"/>
    <w:bookmarkEnd w:id="129"/>
    <w:p>
      <w:pPr>
        <w:jc w:val="center"/>
        <w:rPr>
          <w:color w:val="000000" w:themeColor="text1"/>
          <w14:textFill>
            <w14:solidFill>
              <w14:schemeClr w14:val="tx1"/>
            </w14:solidFill>
          </w14:textFill>
        </w:rPr>
      </w:pPr>
    </w:p>
    <w:p>
      <w:pPr>
        <w:keepNext/>
        <w:keepLines/>
        <w:spacing w:before="260" w:after="260" w:line="416" w:lineRule="auto"/>
        <w:jc w:val="center"/>
        <w:outlineLvl w:val="2"/>
        <w:rPr>
          <w:rFonts w:hint="default" w:ascii="宋体" w:hAnsi="宋体" w:eastAsia="宋体"/>
          <w:b/>
          <w:bCs/>
          <w:color w:val="000000" w:themeColor="text1"/>
          <w:sz w:val="28"/>
          <w:szCs w:val="32"/>
          <w:lang w:val="en-US" w:eastAsia="zh-CN"/>
          <w14:textFill>
            <w14:solidFill>
              <w14:schemeClr w14:val="tx1"/>
            </w14:solidFill>
          </w14:textFill>
        </w:rPr>
      </w:pPr>
      <w:bookmarkStart w:id="130" w:name="_Toc16146"/>
      <w:bookmarkStart w:id="131" w:name="_Toc10816"/>
      <w:bookmarkStart w:id="132" w:name="_Toc536542365"/>
      <w:bookmarkStart w:id="133" w:name="_Toc7078099"/>
      <w:r>
        <w:rPr>
          <w:rFonts w:hint="eastAsia" w:ascii="宋体" w:hAnsi="宋体"/>
          <w:b/>
          <w:bCs/>
          <w:color w:val="000000" w:themeColor="text1"/>
          <w:sz w:val="28"/>
          <w:szCs w:val="32"/>
          <w:lang w:val="en-US" w:eastAsia="zh-CN"/>
          <w14:textFill>
            <w14:solidFill>
              <w14:schemeClr w14:val="tx1"/>
            </w14:solidFill>
          </w14:textFill>
        </w:rPr>
        <w:t>十一．生产厂商授权书</w:t>
      </w:r>
    </w:p>
    <w:p>
      <w:pPr>
        <w:keepNext/>
        <w:keepLines/>
        <w:spacing w:before="260" w:after="260" w:line="416" w:lineRule="auto"/>
        <w:jc w:val="center"/>
        <w:outlineLvl w:val="2"/>
        <w:rPr>
          <w:rFonts w:hint="eastAsia" w:ascii="宋体" w:hAnsi="宋体" w:eastAsia="宋体"/>
          <w:b/>
          <w:bCs/>
          <w:color w:val="000000" w:themeColor="text1"/>
          <w:sz w:val="36"/>
          <w:szCs w:val="36"/>
          <w:lang w:val="en-US" w:eastAsia="zh-CN"/>
          <w14:textFill>
            <w14:solidFill>
              <w14:schemeClr w14:val="tx1"/>
            </w14:solidFill>
          </w14:textFill>
        </w:rPr>
      </w:pPr>
      <w:r>
        <w:rPr>
          <w:rFonts w:hint="eastAsia" w:ascii="宋体" w:hAnsi="宋体"/>
          <w:b/>
          <w:bCs/>
          <w:color w:val="000000" w:themeColor="text1"/>
          <w:sz w:val="28"/>
          <w:szCs w:val="32"/>
          <w:lang w:val="zh-CN"/>
          <w14:textFill>
            <w14:solidFill>
              <w14:schemeClr w14:val="tx1"/>
            </w14:solidFill>
          </w14:textFill>
        </w:rPr>
        <w:t>十二．售后服务体系、</w:t>
      </w:r>
      <w:r>
        <w:rPr>
          <w:rFonts w:hint="eastAsia" w:ascii="宋体" w:hAnsi="宋体"/>
          <w:b/>
          <w:bCs/>
          <w:color w:val="000000" w:themeColor="text1"/>
          <w:sz w:val="28"/>
          <w:szCs w:val="32"/>
          <w:lang w:val="en-US" w:eastAsia="zh-CN"/>
          <w14:textFill>
            <w14:solidFill>
              <w14:schemeClr w14:val="tx1"/>
            </w14:solidFill>
          </w14:textFill>
        </w:rPr>
        <w:t>维保方案、</w:t>
      </w:r>
      <w:r>
        <w:rPr>
          <w:rFonts w:hint="eastAsia" w:ascii="宋体" w:hAnsi="宋体"/>
          <w:b/>
          <w:bCs/>
          <w:color w:val="000000" w:themeColor="text1"/>
          <w:sz w:val="28"/>
          <w:szCs w:val="32"/>
          <w:lang w:val="zh-CN"/>
          <w14:textFill>
            <w14:solidFill>
              <w14:schemeClr w14:val="tx1"/>
            </w14:solidFill>
          </w14:textFill>
        </w:rPr>
        <w:t>检测</w:t>
      </w:r>
      <w:bookmarkEnd w:id="130"/>
      <w:bookmarkEnd w:id="131"/>
      <w:bookmarkEnd w:id="132"/>
      <w:bookmarkEnd w:id="133"/>
      <w:r>
        <w:rPr>
          <w:rFonts w:hint="eastAsia" w:ascii="宋体" w:hAnsi="宋体"/>
          <w:b/>
          <w:bCs/>
          <w:color w:val="000000" w:themeColor="text1"/>
          <w:sz w:val="28"/>
          <w:szCs w:val="32"/>
          <w:lang w:val="en-US" w:eastAsia="zh-CN"/>
          <w14:textFill>
            <w14:solidFill>
              <w14:schemeClr w14:val="tx1"/>
            </w14:solidFill>
          </w14:textFill>
        </w:rPr>
        <w:t>报告</w:t>
      </w:r>
    </w:p>
    <w:p>
      <w:pPr>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p>
    <w:p>
      <w:pPr>
        <w:keepNext/>
        <w:keepLines/>
        <w:spacing w:before="260" w:after="260" w:line="416" w:lineRule="auto"/>
        <w:ind w:firstLine="3373" w:firstLineChars="1200"/>
        <w:jc w:val="both"/>
        <w:outlineLvl w:val="2"/>
        <w:rPr>
          <w:rFonts w:ascii="宋体" w:hAnsi="宋体"/>
          <w:b/>
          <w:bCs/>
          <w:color w:val="000000" w:themeColor="text1"/>
          <w:sz w:val="28"/>
          <w:szCs w:val="36"/>
          <w:lang w:val="zh-CN"/>
          <w14:textFill>
            <w14:solidFill>
              <w14:schemeClr w14:val="tx1"/>
            </w14:solidFill>
          </w14:textFill>
        </w:rPr>
      </w:pPr>
      <w:bookmarkStart w:id="134" w:name="_Toc9822"/>
      <w:bookmarkStart w:id="135" w:name="_Toc57984513"/>
      <w:bookmarkStart w:id="136" w:name="_Toc7078102"/>
      <w:bookmarkStart w:id="137" w:name="_Toc471736416"/>
      <w:bookmarkStart w:id="138" w:name="_Toc220232400"/>
      <w:bookmarkStart w:id="139" w:name="_Toc27185"/>
      <w:bookmarkStart w:id="140" w:name="_Toc536542368"/>
      <w:r>
        <w:rPr>
          <w:rFonts w:hint="eastAsia" w:ascii="宋体" w:hAnsi="宋体"/>
          <w:b/>
          <w:bCs/>
          <w:color w:val="000000" w:themeColor="text1"/>
          <w:sz w:val="28"/>
          <w:szCs w:val="32"/>
          <w:lang w:val="zh-CN"/>
          <w14:textFill>
            <w14:solidFill>
              <w14:schemeClr w14:val="tx1"/>
            </w14:solidFill>
          </w14:textFill>
        </w:rPr>
        <w:t>十三．产品质量承诺</w:t>
      </w:r>
      <w:bookmarkEnd w:id="134"/>
      <w:bookmarkEnd w:id="135"/>
      <w:bookmarkEnd w:id="136"/>
      <w:bookmarkEnd w:id="137"/>
      <w:bookmarkEnd w:id="138"/>
      <w:bookmarkEnd w:id="139"/>
      <w:bookmarkEnd w:id="140"/>
    </w:p>
    <w:p>
      <w:pPr>
        <w:spacing w:before="48" w:beforeLines="20" w:after="48" w:afterLines="20" w:line="360" w:lineRule="auto"/>
        <w:ind w:firstLine="480" w:firstLineChars="200"/>
        <w:jc w:val="center"/>
        <w:rPr>
          <w:rFonts w:ascii="宋体" w:hAnsi="宋体"/>
          <w:b/>
          <w:bCs/>
          <w:color w:val="000000" w:themeColor="text1"/>
          <w:sz w:val="32"/>
          <w:szCs w:val="32"/>
          <w:lang w:val="zh-CN"/>
          <w14:textFill>
            <w14:solidFill>
              <w14:schemeClr w14:val="tx1"/>
            </w14:solidFill>
          </w14:textFill>
        </w:rPr>
      </w:pPr>
      <w:r>
        <w:rPr>
          <w:rFonts w:hint="eastAsia" w:ascii="宋体" w:hAnsi="宋体"/>
          <w:color w:val="000000" w:themeColor="text1"/>
          <w:sz w:val="24"/>
          <w14:textFill>
            <w14:solidFill>
              <w14:schemeClr w14:val="tx1"/>
            </w14:solidFill>
          </w14:textFill>
        </w:rPr>
        <w:t>(投标人可自行制作格式)</w:t>
      </w:r>
      <w:bookmarkStart w:id="141" w:name="_Toc32139"/>
      <w:r>
        <w:rPr>
          <w:rFonts w:hint="eastAsia" w:ascii="宋体" w:hAnsi="宋体"/>
          <w:b/>
          <w:bCs/>
          <w:color w:val="000000" w:themeColor="text1"/>
          <w:sz w:val="32"/>
          <w:szCs w:val="32"/>
          <w:lang w:val="zh-CN"/>
          <w14:textFill>
            <w14:solidFill>
              <w14:schemeClr w14:val="tx1"/>
            </w14:solidFill>
          </w14:textFill>
        </w:rPr>
        <w:tab/>
      </w:r>
    </w:p>
    <w:p>
      <w:pPr>
        <w:spacing w:before="48" w:beforeLines="20" w:after="48" w:afterLines="20" w:line="360" w:lineRule="auto"/>
        <w:ind w:firstLine="2249" w:firstLineChars="700"/>
        <w:jc w:val="both"/>
        <w:rPr>
          <w:rFonts w:ascii="宋体" w:hAnsi="宋体"/>
          <w:b/>
          <w:bCs/>
          <w:color w:val="000000" w:themeColor="text1"/>
          <w:sz w:val="32"/>
          <w:szCs w:val="32"/>
          <w:lang w:val="zh-CN"/>
          <w14:textFill>
            <w14:solidFill>
              <w14:schemeClr w14:val="tx1"/>
            </w14:solidFill>
          </w14:textFill>
        </w:rPr>
      </w:pPr>
      <w:r>
        <w:rPr>
          <w:rFonts w:hint="eastAsia" w:ascii="宋体" w:hAnsi="宋体"/>
          <w:b/>
          <w:bCs/>
          <w:color w:val="000000" w:themeColor="text1"/>
          <w:sz w:val="32"/>
          <w:szCs w:val="32"/>
          <w:lang w:val="zh-CN"/>
          <w14:textFill>
            <w14:solidFill>
              <w14:schemeClr w14:val="tx1"/>
            </w14:solidFill>
          </w14:textFill>
        </w:rPr>
        <w:t>十四、投标人认为需提供的其他资料</w:t>
      </w:r>
      <w:bookmarkEnd w:id="141"/>
    </w:p>
    <w:p>
      <w:pPr>
        <w:rPr>
          <w:color w:val="000000" w:themeColor="text1"/>
          <w14:textFill>
            <w14:solidFill>
              <w14:schemeClr w14:val="tx1"/>
            </w14:solidFill>
          </w14:textFill>
        </w:rPr>
      </w:pPr>
    </w:p>
    <w:p>
      <w:pPr>
        <w:keepNext/>
        <w:keepLines/>
        <w:spacing w:before="260" w:after="260" w:line="416" w:lineRule="auto"/>
        <w:jc w:val="center"/>
        <w:outlineLvl w:val="2"/>
        <w:rPr>
          <w:rFonts w:hint="eastAsia" w:ascii="宋体" w:hAnsi="宋体"/>
          <w:b/>
          <w:bCs/>
          <w:color w:val="000000" w:themeColor="text1"/>
          <w:sz w:val="28"/>
          <w:szCs w:val="32"/>
          <w:lang w:val="zh-CN"/>
          <w14:textFill>
            <w14:solidFill>
              <w14:schemeClr w14:val="tx1"/>
            </w14:solidFill>
          </w14:textFill>
        </w:rPr>
      </w:pPr>
      <w:bookmarkStart w:id="142" w:name="_Toc19773347"/>
      <w:bookmarkStart w:id="143" w:name="_Toc300210382"/>
      <w:bookmarkStart w:id="144" w:name="_Toc51505261"/>
      <w:bookmarkStart w:id="145" w:name="_Toc18658870"/>
      <w:bookmarkStart w:id="146" w:name="_Toc5128"/>
      <w:bookmarkStart w:id="147" w:name="_Toc22888343"/>
      <w:bookmarkStart w:id="148" w:name="_Toc55287019"/>
      <w:bookmarkStart w:id="149" w:name="_Toc27926"/>
      <w:bookmarkStart w:id="150" w:name="_Toc24284"/>
      <w:bookmarkStart w:id="151" w:name="_Toc17307116"/>
      <w:bookmarkStart w:id="152" w:name="_Toc51083298"/>
    </w:p>
    <w:bookmarkEnd w:id="142"/>
    <w:bookmarkEnd w:id="143"/>
    <w:bookmarkEnd w:id="144"/>
    <w:bookmarkEnd w:id="145"/>
    <w:bookmarkEnd w:id="146"/>
    <w:bookmarkEnd w:id="147"/>
    <w:bookmarkEnd w:id="148"/>
    <w:bookmarkEnd w:id="149"/>
    <w:bookmarkEnd w:id="150"/>
    <w:bookmarkEnd w:id="151"/>
    <w:bookmarkEnd w:id="152"/>
    <w:p>
      <w:pPr>
        <w:pStyle w:val="5"/>
        <w:spacing w:line="500" w:lineRule="exact"/>
        <w:jc w:val="center"/>
        <w:rPr>
          <w:rFonts w:hAnsi="Arial"/>
          <w:color w:val="000000" w:themeColor="text1"/>
          <w:sz w:val="24"/>
          <w14:textFill>
            <w14:solidFill>
              <w14:schemeClr w14:val="tx1"/>
            </w14:solidFill>
          </w14:textFill>
        </w:rPr>
      </w:pPr>
    </w:p>
    <w:sectPr>
      <w:headerReference r:id="rId3" w:type="default"/>
      <w:footerReference r:id="rId4" w:type="default"/>
      <w:footerReference r:id="rId5" w:type="even"/>
      <w:pgSz w:w="11907" w:h="16840"/>
      <w:pgMar w:top="1440" w:right="1247" w:bottom="1440" w:left="1247" w:header="851" w:footer="992" w:gutter="0"/>
      <w:cols w:space="720" w:num="1"/>
      <w:docGrid w:linePitch="30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简标宋">
    <w:altName w:val="黑体"/>
    <w:panose1 w:val="00000000000000000000"/>
    <w:charset w:val="86"/>
    <w:family w:val="auto"/>
    <w:pitch w:val="default"/>
    <w:sig w:usb0="00000000" w:usb1="00000000" w:usb2="00000010" w:usb3="00000000" w:csb0="00040000" w:csb1="00000000"/>
  </w:font>
  <w:font w:name="Arial Black">
    <w:panose1 w:val="020B0A04020102020204"/>
    <w:charset w:val="00"/>
    <w:family w:val="swiss"/>
    <w:pitch w:val="default"/>
    <w:sig w:usb0="A00002AF" w:usb1="400078FB" w:usb2="00000000" w:usb3="00000000" w:csb0="6000009F" w:csb1="DFD70000"/>
  </w:font>
  <w:font w:name="DotumChe">
    <w:altName w:val="Malgun Gothic"/>
    <w:panose1 w:val="00000000000000000000"/>
    <w:charset w:val="81"/>
    <w:family w:val="modern"/>
    <w:pitch w:val="default"/>
    <w:sig w:usb0="00000000" w:usb1="00000000" w:usb2="00000030" w:usb3="00000000" w:csb0="4008009F" w:csb1="DFD7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宋体-18030">
    <w:altName w:val="宋体"/>
    <w:panose1 w:val="00000000000000000000"/>
    <w:charset w:val="86"/>
    <w:family w:val="modern"/>
    <w:pitch w:val="default"/>
    <w:sig w:usb0="00000000" w:usb1="00000000" w:usb2="000A005E" w:usb3="00000000" w:csb0="00040001" w:csb1="00000000"/>
  </w:font>
  <w:font w:name="Cambria">
    <w:panose1 w:val="02040503050406030204"/>
    <w:charset w:val="00"/>
    <w:family w:val="roman"/>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ascii="宋体" w:hAnsi="宋体"/>
        <w:sz w:val="24"/>
      </w:rPr>
    </w:pPr>
    <w:r>
      <w:rPr>
        <w:rFonts w:hint="eastAsia" w:ascii="宋体" w:hAnsi="宋体"/>
        <w:kern w:val="0"/>
        <w:sz w:val="24"/>
        <w:szCs w:val="21"/>
      </w:rPr>
      <w:t xml:space="preserve">第 </w:t>
    </w:r>
    <w:r>
      <w:rPr>
        <w:rFonts w:ascii="宋体" w:hAnsi="宋体"/>
        <w:kern w:val="0"/>
        <w:sz w:val="24"/>
        <w:szCs w:val="21"/>
      </w:rPr>
      <w:fldChar w:fldCharType="begin"/>
    </w:r>
    <w:r>
      <w:rPr>
        <w:rFonts w:ascii="宋体" w:hAnsi="宋体"/>
        <w:kern w:val="0"/>
        <w:sz w:val="24"/>
        <w:szCs w:val="21"/>
      </w:rPr>
      <w:instrText xml:space="preserve"> PAGE </w:instrText>
    </w:r>
    <w:r>
      <w:rPr>
        <w:rFonts w:ascii="宋体" w:hAnsi="宋体"/>
        <w:kern w:val="0"/>
        <w:sz w:val="24"/>
        <w:szCs w:val="21"/>
      </w:rPr>
      <w:fldChar w:fldCharType="separate"/>
    </w:r>
    <w:r>
      <w:rPr>
        <w:rFonts w:ascii="宋体" w:hAnsi="宋体"/>
        <w:kern w:val="0"/>
        <w:sz w:val="24"/>
        <w:szCs w:val="21"/>
      </w:rPr>
      <w:t>2</w:t>
    </w:r>
    <w:r>
      <w:rPr>
        <w:rFonts w:ascii="宋体" w:hAnsi="宋体"/>
        <w:kern w:val="0"/>
        <w:sz w:val="24"/>
        <w:szCs w:val="21"/>
      </w:rPr>
      <w:fldChar w:fldCharType="end"/>
    </w:r>
    <w:r>
      <w:rPr>
        <w:rFonts w:hint="eastAsia" w:ascii="宋体" w:hAnsi="宋体"/>
        <w:kern w:val="0"/>
        <w:sz w:val="24"/>
        <w:szCs w:val="21"/>
      </w:rPr>
      <w:t xml:space="preserve"> 页 共 </w:t>
    </w:r>
    <w:r>
      <w:rPr>
        <w:rFonts w:ascii="宋体" w:hAnsi="宋体"/>
        <w:kern w:val="0"/>
        <w:sz w:val="24"/>
        <w:szCs w:val="21"/>
      </w:rPr>
      <w:fldChar w:fldCharType="begin"/>
    </w:r>
    <w:r>
      <w:rPr>
        <w:rFonts w:ascii="宋体" w:hAnsi="宋体"/>
        <w:kern w:val="0"/>
        <w:sz w:val="24"/>
        <w:szCs w:val="21"/>
      </w:rPr>
      <w:instrText xml:space="preserve"> NUMPAGES </w:instrText>
    </w:r>
    <w:r>
      <w:rPr>
        <w:rFonts w:ascii="宋体" w:hAnsi="宋体"/>
        <w:kern w:val="0"/>
        <w:sz w:val="24"/>
        <w:szCs w:val="21"/>
      </w:rPr>
      <w:fldChar w:fldCharType="separate"/>
    </w:r>
    <w:r>
      <w:rPr>
        <w:rFonts w:ascii="宋体" w:hAnsi="宋体"/>
        <w:kern w:val="0"/>
        <w:sz w:val="24"/>
        <w:szCs w:val="21"/>
      </w:rPr>
      <w:t>41</w:t>
    </w:r>
    <w:r>
      <w:rPr>
        <w:rFonts w:ascii="宋体" w:hAnsi="宋体"/>
        <w:kern w:val="0"/>
        <w:sz w:val="24"/>
        <w:szCs w:val="21"/>
      </w:rPr>
      <w:fldChar w:fldCharType="end"/>
    </w:r>
    <w:r>
      <w:rPr>
        <w:rFonts w:hint="eastAsia" w:ascii="宋体" w:hAnsi="宋体"/>
        <w:kern w:val="0"/>
        <w:sz w:val="24"/>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3"/>
      </w:rPr>
    </w:pPr>
    <w:r>
      <w:fldChar w:fldCharType="begin"/>
    </w:r>
    <w:r>
      <w:rPr>
        <w:rStyle w:val="53"/>
      </w:rPr>
      <w:instrText xml:space="preserve">PAGE  </w:instrText>
    </w:r>
    <w:r>
      <w:fldChar w:fldCharType="end"/>
    </w:r>
  </w:p>
  <w:p>
    <w:pPr>
      <w:pStyle w:val="3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ascii="宋体" w:hAnsi="宋体"/>
        <w:b/>
        <w:i/>
        <w:sz w:val="24"/>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4A119"/>
    <w:multiLevelType w:val="singleLevel"/>
    <w:tmpl w:val="CD64A119"/>
    <w:lvl w:ilvl="0" w:tentative="0">
      <w:start w:val="6"/>
      <w:numFmt w:val="chineseCounting"/>
      <w:suff w:val="space"/>
      <w:lvlText w:val="第%1章"/>
      <w:lvlJc w:val="left"/>
      <w:rPr>
        <w:rFonts w:hint="eastAsia"/>
      </w:rPr>
    </w:lvl>
  </w:abstractNum>
  <w:abstractNum w:abstractNumId="1">
    <w:nsid w:val="F2CB9D54"/>
    <w:multiLevelType w:val="singleLevel"/>
    <w:tmpl w:val="F2CB9D54"/>
    <w:lvl w:ilvl="0" w:tentative="0">
      <w:start w:val="1"/>
      <w:numFmt w:val="decimal"/>
      <w:suff w:val="nothing"/>
      <w:lvlText w:val="%1、"/>
      <w:lvlJc w:val="left"/>
    </w:lvl>
  </w:abstractNum>
  <w:abstractNum w:abstractNumId="2">
    <w:nsid w:val="00000005"/>
    <w:multiLevelType w:val="multilevel"/>
    <w:tmpl w:val="00000005"/>
    <w:lvl w:ilvl="0" w:tentative="0">
      <w:start w:val="1"/>
      <w:numFmt w:val="decimal"/>
      <w:pStyle w:val="6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61207F6"/>
    <w:multiLevelType w:val="multilevel"/>
    <w:tmpl w:val="061207F6"/>
    <w:lvl w:ilvl="0" w:tentative="0">
      <w:start w:val="1"/>
      <w:numFmt w:val="japaneseCounting"/>
      <w:lvlText w:val="%1、"/>
      <w:lvlJc w:val="left"/>
      <w:pPr>
        <w:ind w:left="840" w:hanging="51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4">
    <w:nsid w:val="2E4F3A11"/>
    <w:multiLevelType w:val="multilevel"/>
    <w:tmpl w:val="2E4F3A11"/>
    <w:lvl w:ilvl="0" w:tentative="0">
      <w:start w:val="1"/>
      <w:numFmt w:val="decimal"/>
      <w:pStyle w:val="63"/>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64"/>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62"/>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3E2E1B76"/>
    <w:multiLevelType w:val="multilevel"/>
    <w:tmpl w:val="3E2E1B76"/>
    <w:lvl w:ilvl="0" w:tentative="0">
      <w:start w:val="2"/>
      <w:numFmt w:val="japaneseCounting"/>
      <w:lvlText w:val="%1、"/>
      <w:lvlJc w:val="left"/>
      <w:pPr>
        <w:ind w:left="700" w:hanging="50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82"/>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abstractNum w:abstractNumId="7">
    <w:nsid w:val="4D2A0EDA"/>
    <w:multiLevelType w:val="multilevel"/>
    <w:tmpl w:val="4D2A0EDA"/>
    <w:lvl w:ilvl="0" w:tentative="0">
      <w:start w:val="2"/>
      <w:numFmt w:val="decimal"/>
      <w:lvlText w:val="%1"/>
      <w:lvlJc w:val="left"/>
      <w:pPr>
        <w:ind w:left="360" w:hanging="360"/>
      </w:pPr>
      <w:rPr>
        <w:rFonts w:hint="default"/>
      </w:rPr>
    </w:lvl>
    <w:lvl w:ilvl="1" w:tentative="0">
      <w:start w:val="6"/>
      <w:numFmt w:val="decimal"/>
      <w:lvlText w:val="%1.%2"/>
      <w:lvlJc w:val="left"/>
      <w:pPr>
        <w:ind w:left="909" w:hanging="360"/>
      </w:pPr>
      <w:rPr>
        <w:rFonts w:hint="default"/>
      </w:rPr>
    </w:lvl>
    <w:lvl w:ilvl="2" w:tentative="0">
      <w:start w:val="1"/>
      <w:numFmt w:val="decimal"/>
      <w:lvlText w:val="%1.%2.%3"/>
      <w:lvlJc w:val="left"/>
      <w:pPr>
        <w:ind w:left="1818" w:hanging="720"/>
      </w:pPr>
      <w:rPr>
        <w:rFonts w:hint="default"/>
      </w:rPr>
    </w:lvl>
    <w:lvl w:ilvl="3" w:tentative="0">
      <w:start w:val="1"/>
      <w:numFmt w:val="decimal"/>
      <w:lvlText w:val="%1.%2.%3.%4"/>
      <w:lvlJc w:val="left"/>
      <w:pPr>
        <w:ind w:left="2727" w:hanging="1080"/>
      </w:pPr>
      <w:rPr>
        <w:rFonts w:hint="default"/>
      </w:rPr>
    </w:lvl>
    <w:lvl w:ilvl="4" w:tentative="0">
      <w:start w:val="1"/>
      <w:numFmt w:val="decimal"/>
      <w:lvlText w:val="%1.%2.%3.%4.%5"/>
      <w:lvlJc w:val="left"/>
      <w:pPr>
        <w:ind w:left="3276" w:hanging="1080"/>
      </w:pPr>
      <w:rPr>
        <w:rFonts w:hint="default"/>
      </w:rPr>
    </w:lvl>
    <w:lvl w:ilvl="5" w:tentative="0">
      <w:start w:val="1"/>
      <w:numFmt w:val="decimal"/>
      <w:lvlText w:val="%1.%2.%3.%4.%5.%6"/>
      <w:lvlJc w:val="left"/>
      <w:pPr>
        <w:ind w:left="4185" w:hanging="1440"/>
      </w:pPr>
      <w:rPr>
        <w:rFonts w:hint="default"/>
      </w:rPr>
    </w:lvl>
    <w:lvl w:ilvl="6" w:tentative="0">
      <w:start w:val="1"/>
      <w:numFmt w:val="decimal"/>
      <w:lvlText w:val="%1.%2.%3.%4.%5.%6.%7"/>
      <w:lvlJc w:val="left"/>
      <w:pPr>
        <w:ind w:left="5094" w:hanging="1800"/>
      </w:pPr>
      <w:rPr>
        <w:rFonts w:hint="default"/>
      </w:rPr>
    </w:lvl>
    <w:lvl w:ilvl="7" w:tentative="0">
      <w:start w:val="1"/>
      <w:numFmt w:val="decimal"/>
      <w:lvlText w:val="%1.%2.%3.%4.%5.%6.%7.%8"/>
      <w:lvlJc w:val="left"/>
      <w:pPr>
        <w:ind w:left="5643" w:hanging="1800"/>
      </w:pPr>
      <w:rPr>
        <w:rFonts w:hint="default"/>
      </w:rPr>
    </w:lvl>
    <w:lvl w:ilvl="8" w:tentative="0">
      <w:start w:val="1"/>
      <w:numFmt w:val="decimal"/>
      <w:lvlText w:val="%1.%2.%3.%4.%5.%6.%7.%8.%9"/>
      <w:lvlJc w:val="left"/>
      <w:pPr>
        <w:ind w:left="6552" w:hanging="2160"/>
      </w:pPr>
      <w:rPr>
        <w:rFonts w:hint="default"/>
      </w:rPr>
    </w:lvl>
  </w:abstractNum>
  <w:num w:numId="1">
    <w:abstractNumId w:val="2"/>
  </w:num>
  <w:num w:numId="2">
    <w:abstractNumId w:val="4"/>
  </w:num>
  <w:num w:numId="3">
    <w:abstractNumId w:val="6"/>
  </w:num>
  <w:num w:numId="4">
    <w:abstractNumId w:val="5"/>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YmQ2MmY2ZGFiMGI4OTRkNDg5ZGZhNmI2ODJlOWQifQ=="/>
  </w:docVars>
  <w:rsids>
    <w:rsidRoot w:val="00172A27"/>
    <w:rsid w:val="00001A0B"/>
    <w:rsid w:val="000035A3"/>
    <w:rsid w:val="000106D4"/>
    <w:rsid w:val="00010CC7"/>
    <w:rsid w:val="00015DB9"/>
    <w:rsid w:val="000165BF"/>
    <w:rsid w:val="000251FA"/>
    <w:rsid w:val="0003169D"/>
    <w:rsid w:val="00034DE4"/>
    <w:rsid w:val="000375D6"/>
    <w:rsid w:val="000500BD"/>
    <w:rsid w:val="00050A33"/>
    <w:rsid w:val="00052552"/>
    <w:rsid w:val="00054AE6"/>
    <w:rsid w:val="00061E30"/>
    <w:rsid w:val="00070AF8"/>
    <w:rsid w:val="00081E48"/>
    <w:rsid w:val="00083595"/>
    <w:rsid w:val="0009188A"/>
    <w:rsid w:val="00093C96"/>
    <w:rsid w:val="000974B8"/>
    <w:rsid w:val="000B5931"/>
    <w:rsid w:val="000C12DF"/>
    <w:rsid w:val="000C51EA"/>
    <w:rsid w:val="000C720D"/>
    <w:rsid w:val="000D0E34"/>
    <w:rsid w:val="000D64A2"/>
    <w:rsid w:val="000D73B0"/>
    <w:rsid w:val="000E1FDF"/>
    <w:rsid w:val="000E61BF"/>
    <w:rsid w:val="000E7B46"/>
    <w:rsid w:val="000F404D"/>
    <w:rsid w:val="001006B1"/>
    <w:rsid w:val="001029A1"/>
    <w:rsid w:val="00103B7D"/>
    <w:rsid w:val="00106234"/>
    <w:rsid w:val="0011682E"/>
    <w:rsid w:val="00121C5C"/>
    <w:rsid w:val="00122092"/>
    <w:rsid w:val="00123512"/>
    <w:rsid w:val="00133123"/>
    <w:rsid w:val="00136CE8"/>
    <w:rsid w:val="00143D8F"/>
    <w:rsid w:val="00145FCF"/>
    <w:rsid w:val="001567A4"/>
    <w:rsid w:val="00157DA2"/>
    <w:rsid w:val="00165A31"/>
    <w:rsid w:val="00165E3E"/>
    <w:rsid w:val="00167D2D"/>
    <w:rsid w:val="00170641"/>
    <w:rsid w:val="00171D92"/>
    <w:rsid w:val="00172A27"/>
    <w:rsid w:val="00172CCB"/>
    <w:rsid w:val="001758D1"/>
    <w:rsid w:val="00177581"/>
    <w:rsid w:val="00180621"/>
    <w:rsid w:val="00182763"/>
    <w:rsid w:val="00182F13"/>
    <w:rsid w:val="00187141"/>
    <w:rsid w:val="00187355"/>
    <w:rsid w:val="001873D0"/>
    <w:rsid w:val="00190FC3"/>
    <w:rsid w:val="00191011"/>
    <w:rsid w:val="00192FA2"/>
    <w:rsid w:val="00193CCB"/>
    <w:rsid w:val="001A15C7"/>
    <w:rsid w:val="001A3416"/>
    <w:rsid w:val="001A5D42"/>
    <w:rsid w:val="001B1E68"/>
    <w:rsid w:val="001B5756"/>
    <w:rsid w:val="001B6CA4"/>
    <w:rsid w:val="001C5E9E"/>
    <w:rsid w:val="001D22B3"/>
    <w:rsid w:val="001E0B84"/>
    <w:rsid w:val="001E1917"/>
    <w:rsid w:val="001E38B4"/>
    <w:rsid w:val="001F18D1"/>
    <w:rsid w:val="001F2286"/>
    <w:rsid w:val="001F489C"/>
    <w:rsid w:val="001F711F"/>
    <w:rsid w:val="002115AF"/>
    <w:rsid w:val="002208C9"/>
    <w:rsid w:val="00220990"/>
    <w:rsid w:val="00234F18"/>
    <w:rsid w:val="0024080E"/>
    <w:rsid w:val="00241826"/>
    <w:rsid w:val="002505C8"/>
    <w:rsid w:val="00252128"/>
    <w:rsid w:val="00256362"/>
    <w:rsid w:val="00256B0B"/>
    <w:rsid w:val="00260053"/>
    <w:rsid w:val="00260ED6"/>
    <w:rsid w:val="00266ED5"/>
    <w:rsid w:val="00282F64"/>
    <w:rsid w:val="00284E8A"/>
    <w:rsid w:val="00286D1E"/>
    <w:rsid w:val="002871F0"/>
    <w:rsid w:val="00290E0B"/>
    <w:rsid w:val="00291AA9"/>
    <w:rsid w:val="00291BDA"/>
    <w:rsid w:val="002925B9"/>
    <w:rsid w:val="00294401"/>
    <w:rsid w:val="002957A2"/>
    <w:rsid w:val="002A0717"/>
    <w:rsid w:val="002A106D"/>
    <w:rsid w:val="002A1AEB"/>
    <w:rsid w:val="002A35E3"/>
    <w:rsid w:val="002A3E6A"/>
    <w:rsid w:val="002A55E5"/>
    <w:rsid w:val="002A6ADC"/>
    <w:rsid w:val="002A6D1E"/>
    <w:rsid w:val="002A7309"/>
    <w:rsid w:val="002B25E9"/>
    <w:rsid w:val="002B2F57"/>
    <w:rsid w:val="002B3FCC"/>
    <w:rsid w:val="002B653A"/>
    <w:rsid w:val="002C2DE2"/>
    <w:rsid w:val="002C74C8"/>
    <w:rsid w:val="002C785E"/>
    <w:rsid w:val="002D4B74"/>
    <w:rsid w:val="002D797D"/>
    <w:rsid w:val="002E0440"/>
    <w:rsid w:val="002E0D6B"/>
    <w:rsid w:val="002E1859"/>
    <w:rsid w:val="002E428A"/>
    <w:rsid w:val="002E7812"/>
    <w:rsid w:val="002F1441"/>
    <w:rsid w:val="002F16E1"/>
    <w:rsid w:val="002F4164"/>
    <w:rsid w:val="002F4E93"/>
    <w:rsid w:val="00303BEB"/>
    <w:rsid w:val="003040D2"/>
    <w:rsid w:val="00305B48"/>
    <w:rsid w:val="0030781B"/>
    <w:rsid w:val="00317ED7"/>
    <w:rsid w:val="00321272"/>
    <w:rsid w:val="003228AD"/>
    <w:rsid w:val="00325655"/>
    <w:rsid w:val="003318E8"/>
    <w:rsid w:val="0033258B"/>
    <w:rsid w:val="00334886"/>
    <w:rsid w:val="00340899"/>
    <w:rsid w:val="00346CFB"/>
    <w:rsid w:val="003503E0"/>
    <w:rsid w:val="003519DD"/>
    <w:rsid w:val="00351E5E"/>
    <w:rsid w:val="00353D22"/>
    <w:rsid w:val="00360539"/>
    <w:rsid w:val="00362DC7"/>
    <w:rsid w:val="00363F24"/>
    <w:rsid w:val="003725BD"/>
    <w:rsid w:val="00376BA7"/>
    <w:rsid w:val="003822F5"/>
    <w:rsid w:val="0038312D"/>
    <w:rsid w:val="00385FFF"/>
    <w:rsid w:val="00386644"/>
    <w:rsid w:val="00391B6E"/>
    <w:rsid w:val="003933DB"/>
    <w:rsid w:val="00393D11"/>
    <w:rsid w:val="00394F7F"/>
    <w:rsid w:val="003B0A8B"/>
    <w:rsid w:val="003B0FB4"/>
    <w:rsid w:val="003B21C4"/>
    <w:rsid w:val="003B400F"/>
    <w:rsid w:val="003B4882"/>
    <w:rsid w:val="003C0193"/>
    <w:rsid w:val="003C01A9"/>
    <w:rsid w:val="003D2373"/>
    <w:rsid w:val="003D38BB"/>
    <w:rsid w:val="003D7BDF"/>
    <w:rsid w:val="003E5BF3"/>
    <w:rsid w:val="003E5D09"/>
    <w:rsid w:val="003F29DE"/>
    <w:rsid w:val="003F7921"/>
    <w:rsid w:val="00400F2C"/>
    <w:rsid w:val="0040206D"/>
    <w:rsid w:val="0040374C"/>
    <w:rsid w:val="00403F76"/>
    <w:rsid w:val="00412C60"/>
    <w:rsid w:val="00422599"/>
    <w:rsid w:val="004225D3"/>
    <w:rsid w:val="0042556C"/>
    <w:rsid w:val="00425AF3"/>
    <w:rsid w:val="00426D82"/>
    <w:rsid w:val="00427F08"/>
    <w:rsid w:val="004302CE"/>
    <w:rsid w:val="00440EB9"/>
    <w:rsid w:val="00441B3A"/>
    <w:rsid w:val="0044389C"/>
    <w:rsid w:val="00445B16"/>
    <w:rsid w:val="00445DD2"/>
    <w:rsid w:val="004460A8"/>
    <w:rsid w:val="00447973"/>
    <w:rsid w:val="00451119"/>
    <w:rsid w:val="00451447"/>
    <w:rsid w:val="00451ACD"/>
    <w:rsid w:val="004533D6"/>
    <w:rsid w:val="00453E04"/>
    <w:rsid w:val="00454420"/>
    <w:rsid w:val="0046180F"/>
    <w:rsid w:val="00462FD8"/>
    <w:rsid w:val="00463267"/>
    <w:rsid w:val="00464611"/>
    <w:rsid w:val="00472EA7"/>
    <w:rsid w:val="0047443A"/>
    <w:rsid w:val="00476E14"/>
    <w:rsid w:val="0048008A"/>
    <w:rsid w:val="00484B61"/>
    <w:rsid w:val="00486967"/>
    <w:rsid w:val="004873FB"/>
    <w:rsid w:val="0049233E"/>
    <w:rsid w:val="004962CC"/>
    <w:rsid w:val="004A6495"/>
    <w:rsid w:val="004B0C11"/>
    <w:rsid w:val="004B5915"/>
    <w:rsid w:val="004B6AA8"/>
    <w:rsid w:val="004C0863"/>
    <w:rsid w:val="004D1F92"/>
    <w:rsid w:val="004D2B46"/>
    <w:rsid w:val="004D413E"/>
    <w:rsid w:val="004D52B6"/>
    <w:rsid w:val="004E2086"/>
    <w:rsid w:val="004E2310"/>
    <w:rsid w:val="004E2D49"/>
    <w:rsid w:val="004E2F0D"/>
    <w:rsid w:val="004E3766"/>
    <w:rsid w:val="004F128E"/>
    <w:rsid w:val="004F4F38"/>
    <w:rsid w:val="004F5FD0"/>
    <w:rsid w:val="0050175C"/>
    <w:rsid w:val="00502FBE"/>
    <w:rsid w:val="005055F8"/>
    <w:rsid w:val="00507362"/>
    <w:rsid w:val="00510C99"/>
    <w:rsid w:val="00511D05"/>
    <w:rsid w:val="00512F8C"/>
    <w:rsid w:val="00513759"/>
    <w:rsid w:val="005151FA"/>
    <w:rsid w:val="00523298"/>
    <w:rsid w:val="00523310"/>
    <w:rsid w:val="00523411"/>
    <w:rsid w:val="00524A70"/>
    <w:rsid w:val="00527DA4"/>
    <w:rsid w:val="00530ED5"/>
    <w:rsid w:val="00535551"/>
    <w:rsid w:val="00541DA2"/>
    <w:rsid w:val="00551D5E"/>
    <w:rsid w:val="00555E88"/>
    <w:rsid w:val="0056335F"/>
    <w:rsid w:val="005639AC"/>
    <w:rsid w:val="00566C97"/>
    <w:rsid w:val="00575119"/>
    <w:rsid w:val="005823EC"/>
    <w:rsid w:val="005904B5"/>
    <w:rsid w:val="005A413D"/>
    <w:rsid w:val="005A64BC"/>
    <w:rsid w:val="005A7181"/>
    <w:rsid w:val="005B1427"/>
    <w:rsid w:val="005B2CBF"/>
    <w:rsid w:val="005B51DB"/>
    <w:rsid w:val="005C1423"/>
    <w:rsid w:val="005C43C2"/>
    <w:rsid w:val="005C6C62"/>
    <w:rsid w:val="005D210F"/>
    <w:rsid w:val="005E0C2F"/>
    <w:rsid w:val="005E49E3"/>
    <w:rsid w:val="005E6B2E"/>
    <w:rsid w:val="005F0E09"/>
    <w:rsid w:val="005F13A5"/>
    <w:rsid w:val="005F50AD"/>
    <w:rsid w:val="0060098C"/>
    <w:rsid w:val="00601316"/>
    <w:rsid w:val="00607F38"/>
    <w:rsid w:val="00621A5D"/>
    <w:rsid w:val="00625222"/>
    <w:rsid w:val="0063024E"/>
    <w:rsid w:val="00630C2A"/>
    <w:rsid w:val="006322AD"/>
    <w:rsid w:val="006327D9"/>
    <w:rsid w:val="00635863"/>
    <w:rsid w:val="00640572"/>
    <w:rsid w:val="00642FE4"/>
    <w:rsid w:val="00644A0A"/>
    <w:rsid w:val="00652237"/>
    <w:rsid w:val="00661219"/>
    <w:rsid w:val="00676E2C"/>
    <w:rsid w:val="00682E33"/>
    <w:rsid w:val="00683852"/>
    <w:rsid w:val="00685014"/>
    <w:rsid w:val="0069137C"/>
    <w:rsid w:val="00691BC2"/>
    <w:rsid w:val="006A0AF6"/>
    <w:rsid w:val="006A1112"/>
    <w:rsid w:val="006A3E3D"/>
    <w:rsid w:val="006B14CD"/>
    <w:rsid w:val="006B1F89"/>
    <w:rsid w:val="006C1D2E"/>
    <w:rsid w:val="006C23D4"/>
    <w:rsid w:val="006C5436"/>
    <w:rsid w:val="006C5AEA"/>
    <w:rsid w:val="006D573B"/>
    <w:rsid w:val="006D57DD"/>
    <w:rsid w:val="006D59F7"/>
    <w:rsid w:val="006D6FFA"/>
    <w:rsid w:val="006E3909"/>
    <w:rsid w:val="006E39BD"/>
    <w:rsid w:val="006E72A5"/>
    <w:rsid w:val="006F7F60"/>
    <w:rsid w:val="007036D9"/>
    <w:rsid w:val="0070546F"/>
    <w:rsid w:val="00707AE7"/>
    <w:rsid w:val="00710B83"/>
    <w:rsid w:val="00710CE4"/>
    <w:rsid w:val="0071226A"/>
    <w:rsid w:val="00713E75"/>
    <w:rsid w:val="00713E7E"/>
    <w:rsid w:val="00714C49"/>
    <w:rsid w:val="0072120C"/>
    <w:rsid w:val="0072609C"/>
    <w:rsid w:val="00726B75"/>
    <w:rsid w:val="00732508"/>
    <w:rsid w:val="00740B9D"/>
    <w:rsid w:val="00745F7B"/>
    <w:rsid w:val="00752A46"/>
    <w:rsid w:val="00752AFC"/>
    <w:rsid w:val="0075389C"/>
    <w:rsid w:val="007560E8"/>
    <w:rsid w:val="00761E33"/>
    <w:rsid w:val="007663D1"/>
    <w:rsid w:val="00766A33"/>
    <w:rsid w:val="007700B5"/>
    <w:rsid w:val="00780D9C"/>
    <w:rsid w:val="00792F19"/>
    <w:rsid w:val="0079701A"/>
    <w:rsid w:val="007A0FDC"/>
    <w:rsid w:val="007A5368"/>
    <w:rsid w:val="007A60C0"/>
    <w:rsid w:val="007B1C4F"/>
    <w:rsid w:val="007B354C"/>
    <w:rsid w:val="007C097B"/>
    <w:rsid w:val="007D52FA"/>
    <w:rsid w:val="007D5D5F"/>
    <w:rsid w:val="007D7ECD"/>
    <w:rsid w:val="007E07A7"/>
    <w:rsid w:val="007E4C8A"/>
    <w:rsid w:val="007E5AFC"/>
    <w:rsid w:val="007E75C3"/>
    <w:rsid w:val="007F0A95"/>
    <w:rsid w:val="007F5FD0"/>
    <w:rsid w:val="008128B8"/>
    <w:rsid w:val="00815391"/>
    <w:rsid w:val="00815CC7"/>
    <w:rsid w:val="008166FE"/>
    <w:rsid w:val="008307D0"/>
    <w:rsid w:val="00830E4A"/>
    <w:rsid w:val="00835BCB"/>
    <w:rsid w:val="00850903"/>
    <w:rsid w:val="00850D86"/>
    <w:rsid w:val="00853D8C"/>
    <w:rsid w:val="00865DFE"/>
    <w:rsid w:val="00870122"/>
    <w:rsid w:val="0087493C"/>
    <w:rsid w:val="0087726F"/>
    <w:rsid w:val="00882634"/>
    <w:rsid w:val="00883D6B"/>
    <w:rsid w:val="00886160"/>
    <w:rsid w:val="00895E26"/>
    <w:rsid w:val="008A404B"/>
    <w:rsid w:val="008A4B6B"/>
    <w:rsid w:val="008B2926"/>
    <w:rsid w:val="008B6B28"/>
    <w:rsid w:val="008C40F1"/>
    <w:rsid w:val="008C4744"/>
    <w:rsid w:val="008C645B"/>
    <w:rsid w:val="008D0769"/>
    <w:rsid w:val="008D0F22"/>
    <w:rsid w:val="008D361A"/>
    <w:rsid w:val="008E251D"/>
    <w:rsid w:val="008E582E"/>
    <w:rsid w:val="008E7F4B"/>
    <w:rsid w:val="008F67EE"/>
    <w:rsid w:val="009000C4"/>
    <w:rsid w:val="00911E5A"/>
    <w:rsid w:val="00913C55"/>
    <w:rsid w:val="0092742B"/>
    <w:rsid w:val="00930DEE"/>
    <w:rsid w:val="0093106A"/>
    <w:rsid w:val="00932EAF"/>
    <w:rsid w:val="00934EED"/>
    <w:rsid w:val="00935D83"/>
    <w:rsid w:val="00935F63"/>
    <w:rsid w:val="00936418"/>
    <w:rsid w:val="00940FFD"/>
    <w:rsid w:val="00945A59"/>
    <w:rsid w:val="0094711E"/>
    <w:rsid w:val="0094752C"/>
    <w:rsid w:val="00950E5C"/>
    <w:rsid w:val="0095667D"/>
    <w:rsid w:val="0095690F"/>
    <w:rsid w:val="009612C8"/>
    <w:rsid w:val="009671CB"/>
    <w:rsid w:val="00967968"/>
    <w:rsid w:val="00982352"/>
    <w:rsid w:val="00982D88"/>
    <w:rsid w:val="00986E38"/>
    <w:rsid w:val="00992FF0"/>
    <w:rsid w:val="009A16DE"/>
    <w:rsid w:val="009B1543"/>
    <w:rsid w:val="009B5DA1"/>
    <w:rsid w:val="009B6EB6"/>
    <w:rsid w:val="009C1060"/>
    <w:rsid w:val="009C3BEC"/>
    <w:rsid w:val="009D18FB"/>
    <w:rsid w:val="009D1A24"/>
    <w:rsid w:val="009D30A0"/>
    <w:rsid w:val="009E21BE"/>
    <w:rsid w:val="009E30A1"/>
    <w:rsid w:val="009E33B2"/>
    <w:rsid w:val="009E4C87"/>
    <w:rsid w:val="009E4E8C"/>
    <w:rsid w:val="009E61D6"/>
    <w:rsid w:val="009F305F"/>
    <w:rsid w:val="009F57D2"/>
    <w:rsid w:val="009F72B6"/>
    <w:rsid w:val="009F7301"/>
    <w:rsid w:val="009F7F8B"/>
    <w:rsid w:val="00A008D0"/>
    <w:rsid w:val="00A02D8E"/>
    <w:rsid w:val="00A03549"/>
    <w:rsid w:val="00A07E48"/>
    <w:rsid w:val="00A12979"/>
    <w:rsid w:val="00A15988"/>
    <w:rsid w:val="00A26BA0"/>
    <w:rsid w:val="00A3623A"/>
    <w:rsid w:val="00A36550"/>
    <w:rsid w:val="00A41301"/>
    <w:rsid w:val="00A41F02"/>
    <w:rsid w:val="00A44A89"/>
    <w:rsid w:val="00A51BDB"/>
    <w:rsid w:val="00A52920"/>
    <w:rsid w:val="00A72769"/>
    <w:rsid w:val="00A7306D"/>
    <w:rsid w:val="00A76002"/>
    <w:rsid w:val="00A77107"/>
    <w:rsid w:val="00A77327"/>
    <w:rsid w:val="00A940F0"/>
    <w:rsid w:val="00AA0E81"/>
    <w:rsid w:val="00AA331B"/>
    <w:rsid w:val="00AA4F95"/>
    <w:rsid w:val="00AA64D2"/>
    <w:rsid w:val="00AA678F"/>
    <w:rsid w:val="00AA7B90"/>
    <w:rsid w:val="00AB2FDC"/>
    <w:rsid w:val="00AB43ED"/>
    <w:rsid w:val="00AC1749"/>
    <w:rsid w:val="00AC4F57"/>
    <w:rsid w:val="00AD0330"/>
    <w:rsid w:val="00AD6D59"/>
    <w:rsid w:val="00AE3F71"/>
    <w:rsid w:val="00AE5C03"/>
    <w:rsid w:val="00AE7D2C"/>
    <w:rsid w:val="00B01ECB"/>
    <w:rsid w:val="00B0284E"/>
    <w:rsid w:val="00B078D3"/>
    <w:rsid w:val="00B1079C"/>
    <w:rsid w:val="00B11FE0"/>
    <w:rsid w:val="00B13314"/>
    <w:rsid w:val="00B1344B"/>
    <w:rsid w:val="00B142D6"/>
    <w:rsid w:val="00B154A6"/>
    <w:rsid w:val="00B17378"/>
    <w:rsid w:val="00B21FA5"/>
    <w:rsid w:val="00B22229"/>
    <w:rsid w:val="00B25AC1"/>
    <w:rsid w:val="00B25BBF"/>
    <w:rsid w:val="00B343E6"/>
    <w:rsid w:val="00B4127B"/>
    <w:rsid w:val="00B413DD"/>
    <w:rsid w:val="00B45F26"/>
    <w:rsid w:val="00B50D6E"/>
    <w:rsid w:val="00B51477"/>
    <w:rsid w:val="00B51BC4"/>
    <w:rsid w:val="00B51E41"/>
    <w:rsid w:val="00B52E63"/>
    <w:rsid w:val="00B616DA"/>
    <w:rsid w:val="00B74383"/>
    <w:rsid w:val="00B7791A"/>
    <w:rsid w:val="00B8044D"/>
    <w:rsid w:val="00B8172C"/>
    <w:rsid w:val="00B83F95"/>
    <w:rsid w:val="00B8540A"/>
    <w:rsid w:val="00B8680C"/>
    <w:rsid w:val="00B90B93"/>
    <w:rsid w:val="00B93AD3"/>
    <w:rsid w:val="00BA20C9"/>
    <w:rsid w:val="00BA23F1"/>
    <w:rsid w:val="00BA57B5"/>
    <w:rsid w:val="00BB32FC"/>
    <w:rsid w:val="00BB3A0A"/>
    <w:rsid w:val="00BC3C31"/>
    <w:rsid w:val="00BD090E"/>
    <w:rsid w:val="00BD1274"/>
    <w:rsid w:val="00BD3FD5"/>
    <w:rsid w:val="00BD40F7"/>
    <w:rsid w:val="00BE05BB"/>
    <w:rsid w:val="00BF1A4D"/>
    <w:rsid w:val="00BF5F61"/>
    <w:rsid w:val="00C032BD"/>
    <w:rsid w:val="00C067DC"/>
    <w:rsid w:val="00C071DD"/>
    <w:rsid w:val="00C07F29"/>
    <w:rsid w:val="00C109CF"/>
    <w:rsid w:val="00C10B0C"/>
    <w:rsid w:val="00C15CC2"/>
    <w:rsid w:val="00C27290"/>
    <w:rsid w:val="00C34286"/>
    <w:rsid w:val="00C3452C"/>
    <w:rsid w:val="00C368F4"/>
    <w:rsid w:val="00C37490"/>
    <w:rsid w:val="00C401FD"/>
    <w:rsid w:val="00C4138F"/>
    <w:rsid w:val="00C4239E"/>
    <w:rsid w:val="00C43979"/>
    <w:rsid w:val="00C46089"/>
    <w:rsid w:val="00C464C9"/>
    <w:rsid w:val="00C500F7"/>
    <w:rsid w:val="00C50EAE"/>
    <w:rsid w:val="00C518AA"/>
    <w:rsid w:val="00C54E51"/>
    <w:rsid w:val="00C555C4"/>
    <w:rsid w:val="00C55714"/>
    <w:rsid w:val="00C56E63"/>
    <w:rsid w:val="00C65FD6"/>
    <w:rsid w:val="00C7266C"/>
    <w:rsid w:val="00C72856"/>
    <w:rsid w:val="00C7353D"/>
    <w:rsid w:val="00C77528"/>
    <w:rsid w:val="00C80E42"/>
    <w:rsid w:val="00C843E5"/>
    <w:rsid w:val="00C8637C"/>
    <w:rsid w:val="00C90E61"/>
    <w:rsid w:val="00C92914"/>
    <w:rsid w:val="00C95452"/>
    <w:rsid w:val="00C95AF8"/>
    <w:rsid w:val="00C97B0A"/>
    <w:rsid w:val="00CA1935"/>
    <w:rsid w:val="00CA1E51"/>
    <w:rsid w:val="00CA1F6C"/>
    <w:rsid w:val="00CA230C"/>
    <w:rsid w:val="00CA3BC6"/>
    <w:rsid w:val="00CB18E8"/>
    <w:rsid w:val="00CB42F9"/>
    <w:rsid w:val="00CB4BB2"/>
    <w:rsid w:val="00CC5EBA"/>
    <w:rsid w:val="00CC687D"/>
    <w:rsid w:val="00CD1F78"/>
    <w:rsid w:val="00CD763C"/>
    <w:rsid w:val="00CD7854"/>
    <w:rsid w:val="00CE0765"/>
    <w:rsid w:val="00CE4B22"/>
    <w:rsid w:val="00CE4D9A"/>
    <w:rsid w:val="00CE7904"/>
    <w:rsid w:val="00CF72D5"/>
    <w:rsid w:val="00CF7C91"/>
    <w:rsid w:val="00D05444"/>
    <w:rsid w:val="00D06A28"/>
    <w:rsid w:val="00D25E73"/>
    <w:rsid w:val="00D30431"/>
    <w:rsid w:val="00D30506"/>
    <w:rsid w:val="00D360D3"/>
    <w:rsid w:val="00D4342F"/>
    <w:rsid w:val="00D435A8"/>
    <w:rsid w:val="00D44A98"/>
    <w:rsid w:val="00D450FF"/>
    <w:rsid w:val="00D52223"/>
    <w:rsid w:val="00D658D1"/>
    <w:rsid w:val="00D67E5F"/>
    <w:rsid w:val="00D700F9"/>
    <w:rsid w:val="00D709EE"/>
    <w:rsid w:val="00D713D1"/>
    <w:rsid w:val="00D73555"/>
    <w:rsid w:val="00D74062"/>
    <w:rsid w:val="00D74C90"/>
    <w:rsid w:val="00D763B1"/>
    <w:rsid w:val="00D8284E"/>
    <w:rsid w:val="00D861E8"/>
    <w:rsid w:val="00D91C69"/>
    <w:rsid w:val="00D94B7F"/>
    <w:rsid w:val="00D964DA"/>
    <w:rsid w:val="00DA0527"/>
    <w:rsid w:val="00DA6955"/>
    <w:rsid w:val="00DA7BE3"/>
    <w:rsid w:val="00DB18CD"/>
    <w:rsid w:val="00DB3C15"/>
    <w:rsid w:val="00DB498E"/>
    <w:rsid w:val="00DB4BE6"/>
    <w:rsid w:val="00DB57F0"/>
    <w:rsid w:val="00DB5FF6"/>
    <w:rsid w:val="00DB7A28"/>
    <w:rsid w:val="00DC4276"/>
    <w:rsid w:val="00DC5B6B"/>
    <w:rsid w:val="00DC63D7"/>
    <w:rsid w:val="00DD227D"/>
    <w:rsid w:val="00DD27EE"/>
    <w:rsid w:val="00DE2BD8"/>
    <w:rsid w:val="00DF0182"/>
    <w:rsid w:val="00DF474B"/>
    <w:rsid w:val="00DF59FF"/>
    <w:rsid w:val="00DF6BA5"/>
    <w:rsid w:val="00E006C3"/>
    <w:rsid w:val="00E1233F"/>
    <w:rsid w:val="00E167E6"/>
    <w:rsid w:val="00E168D7"/>
    <w:rsid w:val="00E16A2B"/>
    <w:rsid w:val="00E17FAA"/>
    <w:rsid w:val="00E22E43"/>
    <w:rsid w:val="00E27CF4"/>
    <w:rsid w:val="00E41124"/>
    <w:rsid w:val="00E43B1A"/>
    <w:rsid w:val="00E4404E"/>
    <w:rsid w:val="00E44556"/>
    <w:rsid w:val="00E4486C"/>
    <w:rsid w:val="00E45883"/>
    <w:rsid w:val="00E47746"/>
    <w:rsid w:val="00E47992"/>
    <w:rsid w:val="00E50CC5"/>
    <w:rsid w:val="00E52082"/>
    <w:rsid w:val="00E537D2"/>
    <w:rsid w:val="00E57AAD"/>
    <w:rsid w:val="00E57CB7"/>
    <w:rsid w:val="00E57DB3"/>
    <w:rsid w:val="00E60456"/>
    <w:rsid w:val="00E6148D"/>
    <w:rsid w:val="00E647B9"/>
    <w:rsid w:val="00E6666C"/>
    <w:rsid w:val="00E713C8"/>
    <w:rsid w:val="00E71A01"/>
    <w:rsid w:val="00E74240"/>
    <w:rsid w:val="00E74CB1"/>
    <w:rsid w:val="00E75CF6"/>
    <w:rsid w:val="00E8081C"/>
    <w:rsid w:val="00E80F6C"/>
    <w:rsid w:val="00E83E35"/>
    <w:rsid w:val="00E91868"/>
    <w:rsid w:val="00E92AA2"/>
    <w:rsid w:val="00E93AF4"/>
    <w:rsid w:val="00E94523"/>
    <w:rsid w:val="00E95E9C"/>
    <w:rsid w:val="00EA02BE"/>
    <w:rsid w:val="00EA6EBE"/>
    <w:rsid w:val="00EB1352"/>
    <w:rsid w:val="00EB4D59"/>
    <w:rsid w:val="00EC4E34"/>
    <w:rsid w:val="00ED6DFC"/>
    <w:rsid w:val="00EE04A9"/>
    <w:rsid w:val="00EE06AC"/>
    <w:rsid w:val="00EE3509"/>
    <w:rsid w:val="00EF0E30"/>
    <w:rsid w:val="00EF4158"/>
    <w:rsid w:val="00F00808"/>
    <w:rsid w:val="00F035B7"/>
    <w:rsid w:val="00F05728"/>
    <w:rsid w:val="00F07F81"/>
    <w:rsid w:val="00F111D7"/>
    <w:rsid w:val="00F12004"/>
    <w:rsid w:val="00F12EC0"/>
    <w:rsid w:val="00F160D7"/>
    <w:rsid w:val="00F16736"/>
    <w:rsid w:val="00F20036"/>
    <w:rsid w:val="00F24100"/>
    <w:rsid w:val="00F25E33"/>
    <w:rsid w:val="00F32079"/>
    <w:rsid w:val="00F37A6B"/>
    <w:rsid w:val="00F41A05"/>
    <w:rsid w:val="00F50AFC"/>
    <w:rsid w:val="00F56F2B"/>
    <w:rsid w:val="00F600E4"/>
    <w:rsid w:val="00F66EC1"/>
    <w:rsid w:val="00F72579"/>
    <w:rsid w:val="00F773F9"/>
    <w:rsid w:val="00F819A9"/>
    <w:rsid w:val="00F8586C"/>
    <w:rsid w:val="00F86144"/>
    <w:rsid w:val="00F94735"/>
    <w:rsid w:val="00F965C0"/>
    <w:rsid w:val="00FA39CC"/>
    <w:rsid w:val="00FA5436"/>
    <w:rsid w:val="00FA58B5"/>
    <w:rsid w:val="00FA7C85"/>
    <w:rsid w:val="00FB0A8A"/>
    <w:rsid w:val="00FB3B06"/>
    <w:rsid w:val="00FB5B2E"/>
    <w:rsid w:val="00FD1103"/>
    <w:rsid w:val="00FD6000"/>
    <w:rsid w:val="00FD7BCF"/>
    <w:rsid w:val="00FE0E2C"/>
    <w:rsid w:val="00FE34DF"/>
    <w:rsid w:val="00FE752C"/>
    <w:rsid w:val="00FF12D0"/>
    <w:rsid w:val="00FF558A"/>
    <w:rsid w:val="00FF7C61"/>
    <w:rsid w:val="01F44C52"/>
    <w:rsid w:val="04070FD7"/>
    <w:rsid w:val="04AD49AF"/>
    <w:rsid w:val="079C35A2"/>
    <w:rsid w:val="07E57F8A"/>
    <w:rsid w:val="08D27DB0"/>
    <w:rsid w:val="09A901E7"/>
    <w:rsid w:val="09AA1EA3"/>
    <w:rsid w:val="09B47B48"/>
    <w:rsid w:val="0AB83E86"/>
    <w:rsid w:val="0B457729"/>
    <w:rsid w:val="0C5D6CB0"/>
    <w:rsid w:val="0F047AD5"/>
    <w:rsid w:val="10566193"/>
    <w:rsid w:val="113E1ECE"/>
    <w:rsid w:val="11590601"/>
    <w:rsid w:val="12D9586D"/>
    <w:rsid w:val="14F73442"/>
    <w:rsid w:val="15BB3FE0"/>
    <w:rsid w:val="181F6FEE"/>
    <w:rsid w:val="1ABC6140"/>
    <w:rsid w:val="1B7B1FFE"/>
    <w:rsid w:val="1C596267"/>
    <w:rsid w:val="1D4B15AF"/>
    <w:rsid w:val="1DE673AB"/>
    <w:rsid w:val="1E065D08"/>
    <w:rsid w:val="1F881C91"/>
    <w:rsid w:val="1F8A53A7"/>
    <w:rsid w:val="22661437"/>
    <w:rsid w:val="23155FF5"/>
    <w:rsid w:val="232A4F25"/>
    <w:rsid w:val="27F018C7"/>
    <w:rsid w:val="280C59D4"/>
    <w:rsid w:val="2A1C1D38"/>
    <w:rsid w:val="2B7820CD"/>
    <w:rsid w:val="2B7D1323"/>
    <w:rsid w:val="2BF45A41"/>
    <w:rsid w:val="2CCE29DA"/>
    <w:rsid w:val="2D840453"/>
    <w:rsid w:val="301D1BA7"/>
    <w:rsid w:val="33B144DD"/>
    <w:rsid w:val="34195B0A"/>
    <w:rsid w:val="34FF30A8"/>
    <w:rsid w:val="359D100F"/>
    <w:rsid w:val="36EA36F6"/>
    <w:rsid w:val="377C34BF"/>
    <w:rsid w:val="384C3ABA"/>
    <w:rsid w:val="3B027975"/>
    <w:rsid w:val="3B9F54F4"/>
    <w:rsid w:val="3CE3374A"/>
    <w:rsid w:val="3D6873BC"/>
    <w:rsid w:val="3DA162D4"/>
    <w:rsid w:val="40755082"/>
    <w:rsid w:val="417D7548"/>
    <w:rsid w:val="430F6C0D"/>
    <w:rsid w:val="4393335D"/>
    <w:rsid w:val="43AA6122"/>
    <w:rsid w:val="45227573"/>
    <w:rsid w:val="46CC17F1"/>
    <w:rsid w:val="474D674C"/>
    <w:rsid w:val="48EF052A"/>
    <w:rsid w:val="49646C15"/>
    <w:rsid w:val="4D2E398B"/>
    <w:rsid w:val="4EBA7F34"/>
    <w:rsid w:val="50A2358F"/>
    <w:rsid w:val="51AC7161"/>
    <w:rsid w:val="51AF2A2C"/>
    <w:rsid w:val="54A46C00"/>
    <w:rsid w:val="55DB2445"/>
    <w:rsid w:val="57AB69E7"/>
    <w:rsid w:val="57B97182"/>
    <w:rsid w:val="57DE6F4C"/>
    <w:rsid w:val="585E0AFE"/>
    <w:rsid w:val="587E54D9"/>
    <w:rsid w:val="59C8705B"/>
    <w:rsid w:val="5C421161"/>
    <w:rsid w:val="5F0F3C40"/>
    <w:rsid w:val="60184B53"/>
    <w:rsid w:val="61370E77"/>
    <w:rsid w:val="61F45016"/>
    <w:rsid w:val="623E7BBD"/>
    <w:rsid w:val="641F6B07"/>
    <w:rsid w:val="656B4D08"/>
    <w:rsid w:val="68AE46AB"/>
    <w:rsid w:val="68B4270D"/>
    <w:rsid w:val="68C673DF"/>
    <w:rsid w:val="6A366533"/>
    <w:rsid w:val="6A805665"/>
    <w:rsid w:val="6B992415"/>
    <w:rsid w:val="6CF406D1"/>
    <w:rsid w:val="6D335B0B"/>
    <w:rsid w:val="703219B2"/>
    <w:rsid w:val="70517456"/>
    <w:rsid w:val="71BC008E"/>
    <w:rsid w:val="723E1398"/>
    <w:rsid w:val="72A14A47"/>
    <w:rsid w:val="730C77B1"/>
    <w:rsid w:val="735D680B"/>
    <w:rsid w:val="73655BBF"/>
    <w:rsid w:val="73D60B71"/>
    <w:rsid w:val="7425434E"/>
    <w:rsid w:val="74964A72"/>
    <w:rsid w:val="75A476A3"/>
    <w:rsid w:val="791F22C6"/>
    <w:rsid w:val="7ACF29F8"/>
    <w:rsid w:val="7ADA0DE1"/>
    <w:rsid w:val="7F1864ED"/>
    <w:rsid w:val="7FDB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1" w:name="heading 8"/>
    <w:lsdException w:qFormat="1" w:uiPriority="1"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1" w:name="Normal Indent"/>
    <w:lsdException w:uiPriority="1"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1" w:name="caption"/>
    <w:lsdException w:uiPriority="1" w:name="table of figures"/>
    <w:lsdException w:uiPriority="1" w:name="envelope address"/>
    <w:lsdException w:qFormat="1" w:uiPriority="99" w:semiHidden="0" w:name="envelope return"/>
    <w:lsdException w:uiPriority="1" w:name="footnote reference"/>
    <w:lsdException w:qFormat="1" w:uiPriority="0" w:semiHidden="0" w:name="annotation reference"/>
    <w:lsdException w:uiPriority="1" w:name="line number"/>
    <w:lsdException w:qFormat="1" w:unhideWhenUsed="0" w:uiPriority="99" w:semiHidden="0" w:name="page number"/>
    <w:lsdException w:uiPriority="1" w:name="endnote reference"/>
    <w:lsdException w:uiPriority="1" w:name="endnote text"/>
    <w:lsdException w:qFormat="1" w:unhideWhenUsed="0" w:uiPriority="0" w:name="table of authorities"/>
    <w:lsdException w:uiPriority="1" w:name="macro"/>
    <w:lsdException w:qFormat="1" w:unhideWhenUsed="0" w:uiPriority="0"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qFormat="1" w:uiPriority="1" w:name="Default Paragraph Font"/>
    <w:lsdException w:qFormat="1" w:unhideWhenUsed="0" w:uiPriority="0" w:semiHidden="0" w:name="Body Text"/>
    <w:lsdException w:qFormat="1" w:unhideWhenUsed="0" w:uiPriority="0" w:semiHidden="0"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1"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1" w:name="E-mail Signature"/>
    <w:lsdException w:qFormat="1" w:unhideWhenUsed="0" w:uiPriority="0" w:semiHidden="0"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nhideWhenUsed="0" w:uiPriority="0"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nhideWhenUsed="0" w:uiPriority="99" w:semiHidden="0" w:name="Balloon Text"/>
    <w:lsdException w:unhideWhenUsed="0" w:uiPriority="1"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1"/>
    <w:basedOn w:val="1"/>
    <w:next w:val="1"/>
    <w:link w:val="104"/>
    <w:qFormat/>
    <w:uiPriority w:val="99"/>
    <w:pPr>
      <w:keepNext/>
      <w:keepLines/>
      <w:spacing w:before="340" w:after="330" w:line="578" w:lineRule="auto"/>
      <w:outlineLvl w:val="0"/>
    </w:pPr>
    <w:rPr>
      <w:b/>
      <w:bCs/>
      <w:kern w:val="44"/>
      <w:sz w:val="30"/>
      <w:szCs w:val="44"/>
    </w:rPr>
  </w:style>
  <w:style w:type="paragraph" w:styleId="6">
    <w:name w:val="heading 2"/>
    <w:basedOn w:val="1"/>
    <w:next w:val="1"/>
    <w:link w:val="108"/>
    <w:qFormat/>
    <w:uiPriority w:val="99"/>
    <w:pPr>
      <w:keepNext/>
      <w:keepLines/>
      <w:spacing w:before="260" w:after="260" w:line="416" w:lineRule="auto"/>
      <w:ind w:firstLine="628"/>
      <w:jc w:val="center"/>
      <w:outlineLvl w:val="1"/>
    </w:pPr>
    <w:rPr>
      <w:rFonts w:ascii="Arial" w:hAnsi="Arial" w:eastAsia="黑体"/>
      <w:b/>
      <w:bCs/>
      <w:sz w:val="32"/>
      <w:szCs w:val="32"/>
    </w:rPr>
  </w:style>
  <w:style w:type="paragraph" w:styleId="7">
    <w:name w:val="heading 3"/>
    <w:basedOn w:val="1"/>
    <w:next w:val="1"/>
    <w:link w:val="107"/>
    <w:qFormat/>
    <w:uiPriority w:val="0"/>
    <w:pPr>
      <w:keepNext/>
      <w:keepLines/>
      <w:spacing w:before="260" w:after="260" w:line="416" w:lineRule="auto"/>
      <w:jc w:val="center"/>
      <w:outlineLvl w:val="2"/>
    </w:pPr>
    <w:rPr>
      <w:rFonts w:ascii="宋体"/>
      <w:b/>
      <w:bCs/>
      <w:sz w:val="32"/>
      <w:szCs w:val="32"/>
    </w:rPr>
  </w:style>
  <w:style w:type="paragraph" w:styleId="8">
    <w:name w:val="heading 4"/>
    <w:basedOn w:val="1"/>
    <w:next w:val="1"/>
    <w:link w:val="96"/>
    <w:qFormat/>
    <w:uiPriority w:val="0"/>
    <w:pPr>
      <w:keepNext/>
      <w:keepLines/>
      <w:spacing w:before="280" w:after="290" w:line="376" w:lineRule="auto"/>
      <w:outlineLvl w:val="3"/>
    </w:pPr>
    <w:rPr>
      <w:rFonts w:ascii="Arial" w:hAnsi="Arial" w:eastAsia="黑体"/>
      <w:b/>
      <w:bCs/>
      <w:sz w:val="28"/>
      <w:szCs w:val="28"/>
    </w:rPr>
  </w:style>
  <w:style w:type="paragraph" w:styleId="9">
    <w:name w:val="heading 5"/>
    <w:basedOn w:val="1"/>
    <w:next w:val="1"/>
    <w:link w:val="95"/>
    <w:qFormat/>
    <w:uiPriority w:val="0"/>
    <w:pPr>
      <w:keepNext/>
      <w:outlineLvl w:val="4"/>
    </w:pPr>
    <w:rPr>
      <w:rFonts w:ascii="宋体" w:hAnsi="Arial"/>
      <w:bCs/>
      <w:sz w:val="28"/>
      <w:szCs w:val="20"/>
    </w:rPr>
  </w:style>
  <w:style w:type="paragraph" w:styleId="10">
    <w:name w:val="heading 6"/>
    <w:basedOn w:val="1"/>
    <w:next w:val="1"/>
    <w:link w:val="94"/>
    <w:qFormat/>
    <w:uiPriority w:val="0"/>
    <w:pPr>
      <w:keepNext/>
      <w:autoSpaceDE w:val="0"/>
      <w:autoSpaceDN w:val="0"/>
      <w:adjustRightInd w:val="0"/>
      <w:spacing w:beforeLines="50" w:afterLines="50" w:line="300" w:lineRule="exact"/>
      <w:jc w:val="center"/>
      <w:outlineLvl w:val="5"/>
    </w:pPr>
    <w:rPr>
      <w:rFonts w:ascii="宋体" w:hAnsi="宋体"/>
      <w:kern w:val="0"/>
      <w:sz w:val="28"/>
      <w:szCs w:val="20"/>
    </w:rPr>
  </w:style>
  <w:style w:type="paragraph" w:styleId="11">
    <w:name w:val="heading 7"/>
    <w:basedOn w:val="1"/>
    <w:next w:val="1"/>
    <w:link w:val="93"/>
    <w:qFormat/>
    <w:uiPriority w:val="0"/>
    <w:pPr>
      <w:keepNext/>
      <w:keepLines/>
      <w:spacing w:before="240" w:after="64" w:line="320" w:lineRule="auto"/>
      <w:ind w:right="-24" w:rightChars="-10" w:firstLine="464" w:firstLineChars="225"/>
      <w:jc w:val="left"/>
      <w:outlineLvl w:val="6"/>
    </w:pPr>
    <w:rPr>
      <w:rFonts w:ascii="Arial" w:hAnsi="Arial" w:eastAsia="仿宋_GB2312"/>
      <w:b/>
      <w:bCs/>
      <w:spacing w:val="-4"/>
      <w:sz w:val="24"/>
      <w:szCs w:val="24"/>
    </w:rPr>
  </w:style>
  <w:style w:type="character" w:default="1" w:styleId="51">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spacing w:after="120"/>
      <w:ind w:left="420" w:leftChars="200" w:firstLine="420" w:firstLineChars="200"/>
    </w:pPr>
    <w:rPr>
      <w:rFonts w:ascii="Times New Roman" w:cstheme="minorBidi"/>
      <w:sz w:val="21"/>
      <w:szCs w:val="22"/>
    </w:rPr>
  </w:style>
  <w:style w:type="paragraph" w:styleId="3">
    <w:name w:val="Body Text Indent"/>
    <w:basedOn w:val="1"/>
    <w:next w:val="4"/>
    <w:link w:val="88"/>
    <w:qFormat/>
    <w:uiPriority w:val="0"/>
    <w:pPr>
      <w:ind w:firstLine="645"/>
    </w:pPr>
    <w:rPr>
      <w:rFonts w:ascii="楷体_GB2312" w:eastAsia="楷体_GB2312"/>
      <w:sz w:val="32"/>
      <w:szCs w:val="20"/>
    </w:rPr>
  </w:style>
  <w:style w:type="paragraph" w:styleId="4">
    <w:name w:val="envelope return"/>
    <w:basedOn w:val="1"/>
    <w:unhideWhenUsed/>
    <w:qFormat/>
    <w:uiPriority w:val="99"/>
    <w:pPr>
      <w:snapToGrid w:val="0"/>
    </w:pPr>
    <w:rPr>
      <w:rFonts w:ascii="Arial" w:hAnsi="Arial"/>
    </w:rPr>
  </w:style>
  <w:style w:type="paragraph" w:styleId="12">
    <w:name w:val="toc 7"/>
    <w:basedOn w:val="1"/>
    <w:next w:val="1"/>
    <w:semiHidden/>
    <w:qFormat/>
    <w:uiPriority w:val="0"/>
    <w:pPr>
      <w:ind w:left="1260"/>
      <w:jc w:val="left"/>
    </w:pPr>
    <w:rPr>
      <w:szCs w:val="21"/>
    </w:rPr>
  </w:style>
  <w:style w:type="paragraph" w:styleId="13">
    <w:name w:val="table of authorities"/>
    <w:basedOn w:val="1"/>
    <w:next w:val="1"/>
    <w:semiHidden/>
    <w:qFormat/>
    <w:uiPriority w:val="0"/>
    <w:pPr>
      <w:ind w:left="420" w:leftChars="200"/>
    </w:pPr>
    <w:rPr>
      <w:szCs w:val="20"/>
    </w:rPr>
  </w:style>
  <w:style w:type="paragraph" w:styleId="14">
    <w:name w:val="index 8"/>
    <w:basedOn w:val="1"/>
    <w:next w:val="1"/>
    <w:semiHidden/>
    <w:qFormat/>
    <w:uiPriority w:val="0"/>
    <w:pPr>
      <w:ind w:left="1400" w:leftChars="1400"/>
    </w:pPr>
    <w:rPr>
      <w:szCs w:val="20"/>
    </w:rPr>
  </w:style>
  <w:style w:type="paragraph" w:styleId="15">
    <w:name w:val="index 5"/>
    <w:basedOn w:val="1"/>
    <w:next w:val="1"/>
    <w:semiHidden/>
    <w:qFormat/>
    <w:uiPriority w:val="0"/>
    <w:pPr>
      <w:ind w:left="800" w:leftChars="800"/>
    </w:pPr>
    <w:rPr>
      <w:szCs w:val="20"/>
    </w:rPr>
  </w:style>
  <w:style w:type="paragraph" w:styleId="16">
    <w:name w:val="Document Map"/>
    <w:basedOn w:val="1"/>
    <w:link w:val="99"/>
    <w:semiHidden/>
    <w:qFormat/>
    <w:uiPriority w:val="0"/>
    <w:pPr>
      <w:shd w:val="clear" w:color="auto" w:fill="000080"/>
    </w:pPr>
    <w:rPr>
      <w:szCs w:val="20"/>
    </w:rPr>
  </w:style>
  <w:style w:type="paragraph" w:styleId="17">
    <w:name w:val="toa heading"/>
    <w:basedOn w:val="1"/>
    <w:next w:val="1"/>
    <w:semiHidden/>
    <w:qFormat/>
    <w:uiPriority w:val="0"/>
    <w:pPr>
      <w:spacing w:before="120"/>
    </w:pPr>
    <w:rPr>
      <w:rFonts w:ascii="Arial" w:hAnsi="Arial"/>
      <w:b/>
      <w:bCs/>
      <w:szCs w:val="24"/>
    </w:rPr>
  </w:style>
  <w:style w:type="paragraph" w:styleId="18">
    <w:name w:val="annotation text"/>
    <w:basedOn w:val="1"/>
    <w:link w:val="101"/>
    <w:qFormat/>
    <w:uiPriority w:val="0"/>
    <w:pPr>
      <w:jc w:val="left"/>
    </w:pPr>
    <w:rPr>
      <w:szCs w:val="20"/>
    </w:rPr>
  </w:style>
  <w:style w:type="paragraph" w:styleId="19">
    <w:name w:val="index 6"/>
    <w:basedOn w:val="1"/>
    <w:next w:val="1"/>
    <w:semiHidden/>
    <w:qFormat/>
    <w:uiPriority w:val="0"/>
    <w:pPr>
      <w:ind w:left="1000" w:leftChars="1000"/>
    </w:pPr>
    <w:rPr>
      <w:szCs w:val="20"/>
    </w:rPr>
  </w:style>
  <w:style w:type="paragraph" w:styleId="20">
    <w:name w:val="Body Text 3"/>
    <w:basedOn w:val="1"/>
    <w:link w:val="103"/>
    <w:qFormat/>
    <w:uiPriority w:val="0"/>
    <w:rPr>
      <w:rFonts w:ascii="黑体" w:hAnsi="Arial" w:eastAsia="黑体"/>
      <w:b/>
      <w:sz w:val="28"/>
      <w:szCs w:val="20"/>
    </w:rPr>
  </w:style>
  <w:style w:type="paragraph" w:styleId="21">
    <w:name w:val="Body Text"/>
    <w:basedOn w:val="1"/>
    <w:link w:val="98"/>
    <w:qFormat/>
    <w:uiPriority w:val="0"/>
    <w:rPr>
      <w:rFonts w:ascii="宋体" w:hAnsi="Arial"/>
      <w:sz w:val="28"/>
      <w:szCs w:val="20"/>
    </w:rPr>
  </w:style>
  <w:style w:type="paragraph" w:styleId="22">
    <w:name w:val="Block Text"/>
    <w:basedOn w:val="1"/>
    <w:qFormat/>
    <w:uiPriority w:val="99"/>
    <w:pPr>
      <w:spacing w:after="156"/>
    </w:pPr>
    <w:rPr>
      <w:rFonts w:ascii="宋体"/>
    </w:rPr>
  </w:style>
  <w:style w:type="paragraph" w:styleId="23">
    <w:name w:val="index 4"/>
    <w:basedOn w:val="1"/>
    <w:next w:val="1"/>
    <w:semiHidden/>
    <w:qFormat/>
    <w:uiPriority w:val="0"/>
    <w:pPr>
      <w:ind w:left="600" w:leftChars="600"/>
    </w:pPr>
    <w:rPr>
      <w:szCs w:val="20"/>
    </w:rPr>
  </w:style>
  <w:style w:type="paragraph" w:styleId="24">
    <w:name w:val="toc 5"/>
    <w:basedOn w:val="1"/>
    <w:next w:val="1"/>
    <w:semiHidden/>
    <w:qFormat/>
    <w:uiPriority w:val="0"/>
    <w:pPr>
      <w:ind w:left="840"/>
      <w:jc w:val="left"/>
    </w:pPr>
    <w:rPr>
      <w:szCs w:val="21"/>
    </w:rPr>
  </w:style>
  <w:style w:type="paragraph" w:styleId="25">
    <w:name w:val="toc 3"/>
    <w:basedOn w:val="1"/>
    <w:next w:val="1"/>
    <w:qFormat/>
    <w:uiPriority w:val="39"/>
    <w:pPr>
      <w:tabs>
        <w:tab w:val="right" w:leader="dot" w:pos="9403"/>
      </w:tabs>
      <w:spacing w:line="380" w:lineRule="exact"/>
      <w:ind w:left="420"/>
      <w:jc w:val="left"/>
    </w:pPr>
    <w:rPr>
      <w:i/>
      <w:iCs/>
      <w:szCs w:val="24"/>
    </w:rPr>
  </w:style>
  <w:style w:type="paragraph" w:styleId="26">
    <w:name w:val="Plain Text"/>
    <w:basedOn w:val="1"/>
    <w:link w:val="91"/>
    <w:qFormat/>
    <w:uiPriority w:val="0"/>
    <w:rPr>
      <w:rFonts w:ascii="宋体" w:hAnsi="Courier New"/>
      <w:szCs w:val="20"/>
    </w:rPr>
  </w:style>
  <w:style w:type="paragraph" w:styleId="27">
    <w:name w:val="toc 8"/>
    <w:basedOn w:val="1"/>
    <w:next w:val="1"/>
    <w:semiHidden/>
    <w:qFormat/>
    <w:uiPriority w:val="0"/>
    <w:pPr>
      <w:ind w:left="1470"/>
      <w:jc w:val="left"/>
    </w:pPr>
    <w:rPr>
      <w:szCs w:val="21"/>
    </w:rPr>
  </w:style>
  <w:style w:type="paragraph" w:styleId="28">
    <w:name w:val="index 3"/>
    <w:basedOn w:val="1"/>
    <w:next w:val="1"/>
    <w:semiHidden/>
    <w:qFormat/>
    <w:uiPriority w:val="0"/>
    <w:pPr>
      <w:ind w:left="400" w:leftChars="400"/>
    </w:pPr>
    <w:rPr>
      <w:szCs w:val="20"/>
    </w:rPr>
  </w:style>
  <w:style w:type="paragraph" w:styleId="29">
    <w:name w:val="Date"/>
    <w:basedOn w:val="1"/>
    <w:next w:val="1"/>
    <w:link w:val="84"/>
    <w:qFormat/>
    <w:uiPriority w:val="0"/>
    <w:rPr>
      <w:b/>
      <w:sz w:val="28"/>
      <w:szCs w:val="20"/>
    </w:rPr>
  </w:style>
  <w:style w:type="paragraph" w:styleId="30">
    <w:name w:val="Body Text Indent 2"/>
    <w:basedOn w:val="1"/>
    <w:link w:val="86"/>
    <w:qFormat/>
    <w:uiPriority w:val="0"/>
    <w:pPr>
      <w:ind w:left="630" w:firstLine="645"/>
    </w:pPr>
    <w:rPr>
      <w:rFonts w:ascii="Arial" w:hAnsi="Arial" w:eastAsia="仿宋_GB2312"/>
      <w:sz w:val="32"/>
      <w:szCs w:val="20"/>
    </w:rPr>
  </w:style>
  <w:style w:type="paragraph" w:styleId="31">
    <w:name w:val="Balloon Text"/>
    <w:basedOn w:val="1"/>
    <w:link w:val="109"/>
    <w:qFormat/>
    <w:uiPriority w:val="99"/>
    <w:rPr>
      <w:sz w:val="18"/>
      <w:szCs w:val="18"/>
    </w:rPr>
  </w:style>
  <w:style w:type="paragraph" w:styleId="32">
    <w:name w:val="footer"/>
    <w:basedOn w:val="1"/>
    <w:link w:val="92"/>
    <w:qFormat/>
    <w:uiPriority w:val="99"/>
    <w:pPr>
      <w:tabs>
        <w:tab w:val="center" w:pos="4153"/>
        <w:tab w:val="right" w:pos="8306"/>
      </w:tabs>
      <w:snapToGrid w:val="0"/>
      <w:jc w:val="left"/>
    </w:pPr>
    <w:rPr>
      <w:sz w:val="18"/>
      <w:szCs w:val="20"/>
    </w:rPr>
  </w:style>
  <w:style w:type="paragraph" w:styleId="33">
    <w:name w:val="header"/>
    <w:basedOn w:val="1"/>
    <w:link w:val="102"/>
    <w:qFormat/>
    <w:uiPriority w:val="0"/>
    <w:pPr>
      <w:pBdr>
        <w:bottom w:val="single" w:color="auto" w:sz="6" w:space="1"/>
      </w:pBdr>
      <w:tabs>
        <w:tab w:val="center" w:pos="4153"/>
        <w:tab w:val="right" w:pos="8306"/>
      </w:tabs>
      <w:snapToGrid w:val="0"/>
      <w:jc w:val="center"/>
    </w:pPr>
    <w:rPr>
      <w:sz w:val="18"/>
      <w:szCs w:val="20"/>
    </w:rPr>
  </w:style>
  <w:style w:type="paragraph" w:styleId="34">
    <w:name w:val="toc 1"/>
    <w:basedOn w:val="1"/>
    <w:next w:val="1"/>
    <w:qFormat/>
    <w:uiPriority w:val="39"/>
    <w:pPr>
      <w:spacing w:before="120" w:after="120"/>
      <w:jc w:val="left"/>
    </w:pPr>
    <w:rPr>
      <w:caps/>
      <w:szCs w:val="24"/>
    </w:rPr>
  </w:style>
  <w:style w:type="paragraph" w:styleId="35">
    <w:name w:val="toc 4"/>
    <w:basedOn w:val="1"/>
    <w:next w:val="1"/>
    <w:semiHidden/>
    <w:qFormat/>
    <w:uiPriority w:val="0"/>
    <w:pPr>
      <w:ind w:left="630"/>
      <w:jc w:val="left"/>
    </w:pPr>
    <w:rPr>
      <w:szCs w:val="21"/>
    </w:rPr>
  </w:style>
  <w:style w:type="paragraph" w:styleId="36">
    <w:name w:val="index heading"/>
    <w:basedOn w:val="1"/>
    <w:next w:val="37"/>
    <w:semiHidden/>
    <w:qFormat/>
    <w:uiPriority w:val="0"/>
    <w:rPr>
      <w:szCs w:val="20"/>
    </w:rPr>
  </w:style>
  <w:style w:type="paragraph" w:styleId="37">
    <w:name w:val="index 1"/>
    <w:basedOn w:val="1"/>
    <w:next w:val="1"/>
    <w:semiHidden/>
    <w:qFormat/>
    <w:uiPriority w:val="0"/>
    <w:pPr>
      <w:jc w:val="center"/>
    </w:pPr>
    <w:rPr>
      <w:rFonts w:ascii="仿宋_GB2312" w:eastAsia="仿宋_GB2312"/>
      <w:b/>
      <w:bCs/>
      <w:sz w:val="28"/>
      <w:szCs w:val="20"/>
    </w:rPr>
  </w:style>
  <w:style w:type="paragraph" w:styleId="38">
    <w:name w:val="toc 6"/>
    <w:basedOn w:val="1"/>
    <w:next w:val="1"/>
    <w:semiHidden/>
    <w:qFormat/>
    <w:uiPriority w:val="0"/>
    <w:pPr>
      <w:ind w:left="1050"/>
      <w:jc w:val="left"/>
    </w:pPr>
    <w:rPr>
      <w:szCs w:val="21"/>
    </w:rPr>
  </w:style>
  <w:style w:type="paragraph" w:styleId="39">
    <w:name w:val="Body Text Indent 3"/>
    <w:basedOn w:val="1"/>
    <w:link w:val="97"/>
    <w:qFormat/>
    <w:uiPriority w:val="0"/>
    <w:pPr>
      <w:ind w:firstLine="645"/>
    </w:pPr>
    <w:rPr>
      <w:rFonts w:ascii="仿宋_GB2312" w:hAnsi="Arial" w:eastAsia="仿宋_GB2312"/>
      <w:color w:val="000000"/>
      <w:sz w:val="30"/>
      <w:szCs w:val="20"/>
    </w:rPr>
  </w:style>
  <w:style w:type="paragraph" w:styleId="40">
    <w:name w:val="index 7"/>
    <w:basedOn w:val="1"/>
    <w:next w:val="1"/>
    <w:semiHidden/>
    <w:qFormat/>
    <w:uiPriority w:val="0"/>
    <w:pPr>
      <w:ind w:left="1200" w:leftChars="1200"/>
    </w:pPr>
    <w:rPr>
      <w:szCs w:val="20"/>
    </w:rPr>
  </w:style>
  <w:style w:type="paragraph" w:styleId="41">
    <w:name w:val="index 9"/>
    <w:basedOn w:val="1"/>
    <w:next w:val="1"/>
    <w:semiHidden/>
    <w:qFormat/>
    <w:uiPriority w:val="0"/>
    <w:pPr>
      <w:ind w:left="1600" w:leftChars="1600"/>
    </w:pPr>
    <w:rPr>
      <w:szCs w:val="20"/>
    </w:rPr>
  </w:style>
  <w:style w:type="paragraph" w:styleId="42">
    <w:name w:val="toc 2"/>
    <w:basedOn w:val="1"/>
    <w:next w:val="1"/>
    <w:qFormat/>
    <w:uiPriority w:val="39"/>
    <w:pPr>
      <w:tabs>
        <w:tab w:val="right" w:leader="dot" w:pos="9403"/>
      </w:tabs>
      <w:ind w:left="210"/>
      <w:jc w:val="left"/>
    </w:pPr>
    <w:rPr>
      <w:smallCaps/>
      <w:sz w:val="28"/>
      <w:szCs w:val="24"/>
    </w:rPr>
  </w:style>
  <w:style w:type="paragraph" w:styleId="43">
    <w:name w:val="toc 9"/>
    <w:basedOn w:val="1"/>
    <w:next w:val="1"/>
    <w:semiHidden/>
    <w:qFormat/>
    <w:uiPriority w:val="0"/>
    <w:pPr>
      <w:ind w:left="1680"/>
      <w:jc w:val="left"/>
    </w:pPr>
    <w:rPr>
      <w:szCs w:val="21"/>
    </w:rPr>
  </w:style>
  <w:style w:type="paragraph" w:styleId="44">
    <w:name w:val="Body Text 2"/>
    <w:basedOn w:val="1"/>
    <w:link w:val="85"/>
    <w:qFormat/>
    <w:uiPriority w:val="0"/>
    <w:rPr>
      <w:rFonts w:ascii="仿宋_GB2312" w:eastAsia="仿宋_GB2312"/>
      <w:b/>
      <w:sz w:val="24"/>
      <w:szCs w:val="20"/>
    </w:rPr>
  </w:style>
  <w:style w:type="paragraph" w:styleId="45">
    <w:name w:val="HTML Preformatted"/>
    <w:basedOn w:val="1"/>
    <w:link w:val="9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46">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47">
    <w:name w:val="index 2"/>
    <w:basedOn w:val="1"/>
    <w:next w:val="1"/>
    <w:semiHidden/>
    <w:qFormat/>
    <w:uiPriority w:val="0"/>
    <w:pPr>
      <w:ind w:left="200" w:leftChars="200"/>
    </w:pPr>
    <w:rPr>
      <w:szCs w:val="20"/>
    </w:rPr>
  </w:style>
  <w:style w:type="paragraph" w:styleId="48">
    <w:name w:val="annotation subject"/>
    <w:basedOn w:val="18"/>
    <w:next w:val="18"/>
    <w:link w:val="89"/>
    <w:unhideWhenUsed/>
    <w:qFormat/>
    <w:uiPriority w:val="99"/>
    <w:rPr>
      <w:b/>
      <w:bCs/>
      <w:szCs w:val="22"/>
    </w:rPr>
  </w:style>
  <w:style w:type="paragraph" w:styleId="49">
    <w:name w:val="Body Text First Indent"/>
    <w:basedOn w:val="1"/>
    <w:link w:val="110"/>
    <w:qFormat/>
    <w:uiPriority w:val="0"/>
    <w:pPr>
      <w:autoSpaceDE w:val="0"/>
      <w:autoSpaceDN w:val="0"/>
      <w:adjustRightInd w:val="0"/>
      <w:spacing w:line="360" w:lineRule="auto"/>
      <w:ind w:right="-24" w:rightChars="-10" w:firstLine="425" w:firstLineChars="225"/>
    </w:pPr>
    <w:rPr>
      <w:rFonts w:ascii="Arial" w:hAnsi="Arial" w:eastAsia="仿宋_GB2312"/>
      <w:sz w:val="24"/>
      <w:szCs w:val="32"/>
    </w:rPr>
  </w:style>
  <w:style w:type="character" w:styleId="52">
    <w:name w:val="Strong"/>
    <w:qFormat/>
    <w:uiPriority w:val="99"/>
    <w:rPr>
      <w:b/>
      <w:bCs/>
    </w:rPr>
  </w:style>
  <w:style w:type="character" w:styleId="53">
    <w:name w:val="page number"/>
    <w:qFormat/>
    <w:uiPriority w:val="99"/>
  </w:style>
  <w:style w:type="character" w:styleId="54">
    <w:name w:val="FollowedHyperlink"/>
    <w:qFormat/>
    <w:uiPriority w:val="0"/>
    <w:rPr>
      <w:color w:val="800080"/>
      <w:u w:val="single"/>
    </w:rPr>
  </w:style>
  <w:style w:type="character" w:styleId="55">
    <w:name w:val="Emphasis"/>
    <w:qFormat/>
    <w:uiPriority w:val="0"/>
    <w:rPr>
      <w:color w:val="CC0033"/>
    </w:rPr>
  </w:style>
  <w:style w:type="character" w:styleId="56">
    <w:name w:val="Hyperlink"/>
    <w:qFormat/>
    <w:uiPriority w:val="99"/>
    <w:rPr>
      <w:color w:val="0000FF"/>
      <w:u w:val="single"/>
    </w:rPr>
  </w:style>
  <w:style w:type="character" w:styleId="57">
    <w:name w:val="annotation reference"/>
    <w:unhideWhenUsed/>
    <w:qFormat/>
    <w:uiPriority w:val="0"/>
    <w:rPr>
      <w:sz w:val="21"/>
      <w:szCs w:val="21"/>
    </w:rPr>
  </w:style>
  <w:style w:type="paragraph" w:customStyle="1" w:styleId="58">
    <w:name w:val="_Style 3"/>
    <w:basedOn w:val="1"/>
    <w:qFormat/>
    <w:uiPriority w:val="0"/>
    <w:pPr>
      <w:ind w:firstLine="420" w:firstLineChars="200"/>
    </w:pPr>
  </w:style>
  <w:style w:type="paragraph" w:customStyle="1" w:styleId="5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60">
    <w:name w:val="Char Char Char Char"/>
    <w:basedOn w:val="1"/>
    <w:qFormat/>
    <w:uiPriority w:val="0"/>
    <w:pPr>
      <w:widowControl/>
      <w:spacing w:after="160" w:line="240" w:lineRule="exact"/>
      <w:jc w:val="left"/>
    </w:pPr>
    <w:rPr>
      <w:kern w:val="0"/>
      <w:sz w:val="24"/>
      <w:szCs w:val="24"/>
    </w:rPr>
  </w:style>
  <w:style w:type="paragraph" w:customStyle="1" w:styleId="61">
    <w:name w:val="样式1"/>
    <w:basedOn w:val="1"/>
    <w:link w:val="100"/>
    <w:qFormat/>
    <w:uiPriority w:val="0"/>
    <w:pPr>
      <w:numPr>
        <w:ilvl w:val="0"/>
        <w:numId w:val="1"/>
      </w:numPr>
      <w:adjustRightInd w:val="0"/>
      <w:textAlignment w:val="baseline"/>
    </w:pPr>
    <w:rPr>
      <w:rFonts w:ascii="宋体" w:hAnsi="宋体"/>
      <w:kern w:val="0"/>
      <w:szCs w:val="20"/>
    </w:rPr>
  </w:style>
  <w:style w:type="paragraph" w:customStyle="1" w:styleId="62">
    <w:name w:val="一级标题"/>
    <w:basedOn w:val="1"/>
    <w:next w:val="63"/>
    <w:qFormat/>
    <w:uiPriority w:val="0"/>
    <w:pPr>
      <w:numPr>
        <w:ilvl w:val="2"/>
        <w:numId w:val="2"/>
      </w:numPr>
      <w:tabs>
        <w:tab w:val="left" w:pos="425"/>
      </w:tabs>
      <w:spacing w:afterLines="100"/>
      <w:ind w:left="850" w:hanging="425"/>
      <w:outlineLvl w:val="0"/>
    </w:pPr>
    <w:rPr>
      <w:rFonts w:ascii="黑体" w:eastAsia="黑体"/>
      <w:sz w:val="30"/>
      <w:szCs w:val="28"/>
    </w:rPr>
  </w:style>
  <w:style w:type="paragraph" w:customStyle="1" w:styleId="63">
    <w:name w:val="二级标题"/>
    <w:basedOn w:val="1"/>
    <w:next w:val="64"/>
    <w:qFormat/>
    <w:uiPriority w:val="0"/>
    <w:pPr>
      <w:numPr>
        <w:ilvl w:val="0"/>
        <w:numId w:val="2"/>
      </w:numPr>
      <w:tabs>
        <w:tab w:val="left" w:pos="992"/>
        <w:tab w:val="clear" w:pos="425"/>
      </w:tabs>
      <w:ind w:left="992" w:hanging="567"/>
      <w:outlineLvl w:val="1"/>
    </w:pPr>
    <w:rPr>
      <w:rFonts w:ascii="黑体" w:eastAsia="黑体"/>
      <w:sz w:val="28"/>
      <w:szCs w:val="24"/>
    </w:rPr>
  </w:style>
  <w:style w:type="paragraph" w:customStyle="1" w:styleId="64">
    <w:name w:val="文章正文"/>
    <w:basedOn w:val="1"/>
    <w:qFormat/>
    <w:uiPriority w:val="0"/>
    <w:pPr>
      <w:numPr>
        <w:ilvl w:val="1"/>
        <w:numId w:val="2"/>
      </w:numPr>
      <w:spacing w:beforeLines="50" w:afterLines="50" w:line="320" w:lineRule="exact"/>
      <w:ind w:left="0" w:firstLine="200" w:firstLineChars="200"/>
    </w:pPr>
    <w:rPr>
      <w:rFonts w:ascii="仿宋_GB2312" w:eastAsia="仿宋_GB2312"/>
      <w:sz w:val="28"/>
      <w:szCs w:val="24"/>
    </w:rPr>
  </w:style>
  <w:style w:type="paragraph" w:customStyle="1" w:styleId="65">
    <w:name w:val="基本文字 Char"/>
    <w:basedOn w:val="1"/>
    <w:qFormat/>
    <w:uiPriority w:val="0"/>
    <w:pPr>
      <w:spacing w:before="156" w:line="400" w:lineRule="atLeast"/>
      <w:ind w:firstLine="540" w:firstLineChars="225"/>
    </w:pPr>
    <w:rPr>
      <w:sz w:val="24"/>
      <w:szCs w:val="20"/>
    </w:rPr>
  </w:style>
  <w:style w:type="paragraph" w:customStyle="1" w:styleId="66">
    <w:name w:val="D&amp;L"/>
    <w:basedOn w:val="33"/>
    <w:qFormat/>
    <w:uiPriority w:val="0"/>
    <w:pPr>
      <w:pBdr>
        <w:bottom w:val="thinThickSmallGap" w:color="auto" w:sz="18" w:space="1"/>
      </w:pBdr>
      <w:adjustRightInd w:val="0"/>
      <w:snapToGrid/>
      <w:spacing w:line="240" w:lineRule="atLeast"/>
      <w:textAlignment w:val="baseline"/>
    </w:pPr>
    <w:rPr>
      <w:kern w:val="0"/>
      <w:sz w:val="24"/>
    </w:rPr>
  </w:style>
  <w:style w:type="paragraph" w:customStyle="1" w:styleId="67">
    <w:name w:val="Char"/>
    <w:basedOn w:val="1"/>
    <w:qFormat/>
    <w:uiPriority w:val="0"/>
    <w:rPr>
      <w:rFonts w:ascii="Tahoma" w:hAnsi="Tahoma"/>
      <w:sz w:val="24"/>
      <w:szCs w:val="20"/>
    </w:rPr>
  </w:style>
  <w:style w:type="paragraph" w:customStyle="1" w:styleId="68">
    <w:name w:val="font7"/>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69">
    <w:name w:val="Char Char Char Char Char Char Char1 Char"/>
    <w:basedOn w:val="1"/>
    <w:qFormat/>
    <w:uiPriority w:val="0"/>
    <w:rPr>
      <w:rFonts w:ascii="Tahoma" w:hAnsi="Tahoma"/>
      <w:sz w:val="24"/>
      <w:szCs w:val="20"/>
    </w:rPr>
  </w:style>
  <w:style w:type="paragraph" w:customStyle="1" w:styleId="7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32"/>
      <w:szCs w:val="32"/>
    </w:rPr>
  </w:style>
  <w:style w:type="paragraph" w:customStyle="1" w:styleId="71">
    <w:name w:val="正文_0"/>
    <w:qFormat/>
    <w:uiPriority w:val="0"/>
    <w:pPr>
      <w:widowControl w:val="0"/>
      <w:jc w:val="both"/>
    </w:pPr>
    <w:rPr>
      <w:rFonts w:ascii="Tahoma" w:hAnsi="Tahoma" w:eastAsia="宋体" w:cs="Tahoma"/>
      <w:kern w:val="2"/>
      <w:sz w:val="21"/>
      <w:szCs w:val="22"/>
      <w:lang w:val="en-US" w:eastAsia="zh-CN" w:bidi="ar-SA"/>
    </w:rPr>
  </w:style>
  <w:style w:type="paragraph" w:customStyle="1" w:styleId="72">
    <w:name w:val="font8"/>
    <w:basedOn w:val="1"/>
    <w:qFormat/>
    <w:uiPriority w:val="0"/>
    <w:pPr>
      <w:widowControl/>
      <w:spacing w:before="100" w:beforeAutospacing="1" w:after="100" w:afterAutospacing="1"/>
      <w:jc w:val="left"/>
    </w:pPr>
    <w:rPr>
      <w:rFonts w:hint="eastAsia" w:ascii="宋体" w:hAnsi="宋体"/>
      <w:color w:val="000000"/>
      <w:kern w:val="0"/>
      <w:sz w:val="32"/>
      <w:szCs w:val="32"/>
    </w:rPr>
  </w:style>
  <w:style w:type="paragraph" w:customStyle="1" w:styleId="73">
    <w:name w:val="正文（缩进）"/>
    <w:basedOn w:val="1"/>
    <w:qFormat/>
    <w:uiPriority w:val="0"/>
    <w:pPr>
      <w:widowControl/>
      <w:spacing w:before="156" w:after="156"/>
      <w:ind w:firstLine="480" w:firstLineChars="200"/>
      <w:jc w:val="left"/>
    </w:pPr>
    <w:rPr>
      <w:rFonts w:ascii="仿宋_GB2312" w:eastAsia="仿宋_GB2312"/>
      <w:kern w:val="0"/>
      <w:sz w:val="24"/>
      <w:szCs w:val="24"/>
    </w:rPr>
  </w:style>
  <w:style w:type="paragraph" w:customStyle="1" w:styleId="74">
    <w:name w:val="font9"/>
    <w:basedOn w:val="1"/>
    <w:qFormat/>
    <w:uiPriority w:val="0"/>
    <w:pPr>
      <w:widowControl/>
      <w:spacing w:before="100" w:beforeAutospacing="1" w:after="100" w:afterAutospacing="1"/>
      <w:jc w:val="left"/>
    </w:pPr>
    <w:rPr>
      <w:rFonts w:hint="eastAsia" w:ascii="幼圆" w:hAnsi="宋体" w:eastAsia="幼圆"/>
      <w:kern w:val="0"/>
      <w:sz w:val="32"/>
      <w:szCs w:val="32"/>
    </w:rPr>
  </w:style>
  <w:style w:type="paragraph" w:customStyle="1" w:styleId="75">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76">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font6"/>
    <w:basedOn w:val="1"/>
    <w:qFormat/>
    <w:uiPriority w:val="99"/>
    <w:pPr>
      <w:widowControl/>
      <w:spacing w:before="100" w:beforeAutospacing="1" w:after="100" w:afterAutospacing="1"/>
      <w:jc w:val="left"/>
    </w:pPr>
    <w:rPr>
      <w:rFonts w:hint="eastAsia" w:ascii="宋体" w:hAnsi="宋体"/>
      <w:kern w:val="0"/>
      <w:sz w:val="18"/>
      <w:szCs w:val="18"/>
    </w:rPr>
  </w:style>
  <w:style w:type="paragraph" w:styleId="78">
    <w:name w:val="List Paragraph"/>
    <w:basedOn w:val="1"/>
    <w:qFormat/>
    <w:uiPriority w:val="0"/>
    <w:pPr>
      <w:ind w:firstLine="420" w:firstLineChars="200"/>
    </w:pPr>
  </w:style>
  <w:style w:type="paragraph" w:customStyle="1" w:styleId="7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kern w:val="0"/>
      <w:sz w:val="32"/>
      <w:szCs w:val="32"/>
    </w:rPr>
  </w:style>
  <w:style w:type="paragraph" w:customStyle="1" w:styleId="80">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kern w:val="0"/>
      <w:sz w:val="32"/>
      <w:szCs w:val="32"/>
    </w:rPr>
  </w:style>
  <w:style w:type="paragraph" w:customStyle="1" w:styleId="81">
    <w:name w:val="p0"/>
    <w:basedOn w:val="1"/>
    <w:qFormat/>
    <w:uiPriority w:val="0"/>
    <w:pPr>
      <w:widowControl/>
    </w:pPr>
    <w:rPr>
      <w:kern w:val="0"/>
      <w:szCs w:val="21"/>
    </w:rPr>
  </w:style>
  <w:style w:type="paragraph" w:customStyle="1" w:styleId="82">
    <w:name w:val="SUR-需求定义-第4级"/>
    <w:basedOn w:val="8"/>
    <w:next w:val="1"/>
    <w:qFormat/>
    <w:uiPriority w:val="0"/>
    <w:pPr>
      <w:numPr>
        <w:ilvl w:val="3"/>
        <w:numId w:val="3"/>
      </w:numPr>
      <w:tabs>
        <w:tab w:val="left" w:pos="1080"/>
        <w:tab w:val="clear" w:pos="2934"/>
      </w:tabs>
      <w:spacing w:before="0" w:after="0"/>
      <w:ind w:left="-283" w:firstLine="283"/>
      <w:jc w:val="left"/>
    </w:pPr>
    <w:rPr>
      <w:rFonts w:cs="Arial"/>
      <w:b w:val="0"/>
      <w:color w:val="0000FF"/>
      <w:sz w:val="24"/>
      <w:szCs w:val="24"/>
    </w:rPr>
  </w:style>
  <w:style w:type="paragraph" w:customStyle="1" w:styleId="83">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4">
    <w:name w:val="日期 Char"/>
    <w:link w:val="29"/>
    <w:qFormat/>
    <w:uiPriority w:val="0"/>
    <w:rPr>
      <w:rFonts w:ascii="Times New Roman" w:hAnsi="Times New Roman"/>
      <w:b/>
      <w:kern w:val="2"/>
      <w:sz w:val="28"/>
    </w:rPr>
  </w:style>
  <w:style w:type="character" w:customStyle="1" w:styleId="85">
    <w:name w:val="正文文本 2 Char"/>
    <w:link w:val="44"/>
    <w:qFormat/>
    <w:uiPriority w:val="0"/>
    <w:rPr>
      <w:rFonts w:ascii="仿宋_GB2312" w:hAnsi="Times New Roman" w:eastAsia="仿宋_GB2312"/>
      <w:b/>
      <w:kern w:val="2"/>
      <w:sz w:val="24"/>
    </w:rPr>
  </w:style>
  <w:style w:type="character" w:customStyle="1" w:styleId="86">
    <w:name w:val="正文文本缩进 2 Char"/>
    <w:link w:val="30"/>
    <w:qFormat/>
    <w:uiPriority w:val="0"/>
    <w:rPr>
      <w:rFonts w:ascii="Arial" w:hAnsi="Arial" w:eastAsia="仿宋_GB2312"/>
      <w:kern w:val="2"/>
      <w:sz w:val="32"/>
    </w:rPr>
  </w:style>
  <w:style w:type="character" w:customStyle="1" w:styleId="87">
    <w:name w:val="Char Char1"/>
    <w:qFormat/>
    <w:uiPriority w:val="99"/>
    <w:rPr>
      <w:rFonts w:cs="Times New Roman"/>
      <w:kern w:val="2"/>
      <w:sz w:val="18"/>
      <w:szCs w:val="18"/>
    </w:rPr>
  </w:style>
  <w:style w:type="character" w:customStyle="1" w:styleId="88">
    <w:name w:val="正文文本缩进 Char"/>
    <w:link w:val="3"/>
    <w:qFormat/>
    <w:uiPriority w:val="0"/>
    <w:rPr>
      <w:rFonts w:ascii="楷体_GB2312" w:hAnsi="Times New Roman" w:eastAsia="楷体_GB2312"/>
      <w:kern w:val="2"/>
      <w:sz w:val="32"/>
    </w:rPr>
  </w:style>
  <w:style w:type="character" w:customStyle="1" w:styleId="89">
    <w:name w:val="批注主题 Char"/>
    <w:link w:val="48"/>
    <w:semiHidden/>
    <w:qFormat/>
    <w:uiPriority w:val="99"/>
    <w:rPr>
      <w:rFonts w:ascii="Times New Roman" w:hAnsi="Times New Roman"/>
      <w:b/>
      <w:bCs/>
      <w:kern w:val="2"/>
      <w:sz w:val="21"/>
      <w:szCs w:val="22"/>
    </w:rPr>
  </w:style>
  <w:style w:type="character" w:customStyle="1" w:styleId="90">
    <w:name w:val="HTML 预设格式 Char"/>
    <w:link w:val="45"/>
    <w:qFormat/>
    <w:uiPriority w:val="0"/>
    <w:rPr>
      <w:rFonts w:ascii="Arial" w:hAnsi="Arial"/>
      <w:sz w:val="24"/>
      <w:szCs w:val="24"/>
    </w:rPr>
  </w:style>
  <w:style w:type="character" w:customStyle="1" w:styleId="91">
    <w:name w:val="纯文本 Char1"/>
    <w:link w:val="26"/>
    <w:qFormat/>
    <w:locked/>
    <w:uiPriority w:val="0"/>
    <w:rPr>
      <w:rFonts w:ascii="宋体" w:hAnsi="Courier New"/>
      <w:kern w:val="2"/>
      <w:sz w:val="21"/>
    </w:rPr>
  </w:style>
  <w:style w:type="character" w:customStyle="1" w:styleId="92">
    <w:name w:val="页脚 Char"/>
    <w:link w:val="32"/>
    <w:qFormat/>
    <w:uiPriority w:val="99"/>
    <w:rPr>
      <w:rFonts w:ascii="Times New Roman" w:hAnsi="Times New Roman"/>
      <w:kern w:val="2"/>
      <w:sz w:val="18"/>
    </w:rPr>
  </w:style>
  <w:style w:type="character" w:customStyle="1" w:styleId="93">
    <w:name w:val="标题 7 Char"/>
    <w:link w:val="11"/>
    <w:qFormat/>
    <w:uiPriority w:val="0"/>
    <w:rPr>
      <w:rFonts w:ascii="Arial" w:hAnsi="Arial" w:eastAsia="仿宋_GB2312" w:cs="Arial"/>
      <w:b/>
      <w:bCs/>
      <w:spacing w:val="-4"/>
      <w:kern w:val="2"/>
      <w:sz w:val="24"/>
      <w:szCs w:val="24"/>
    </w:rPr>
  </w:style>
  <w:style w:type="character" w:customStyle="1" w:styleId="94">
    <w:name w:val="标题 6 Char"/>
    <w:link w:val="10"/>
    <w:qFormat/>
    <w:uiPriority w:val="0"/>
    <w:rPr>
      <w:rFonts w:ascii="宋体" w:hAnsi="宋体"/>
      <w:sz w:val="28"/>
    </w:rPr>
  </w:style>
  <w:style w:type="character" w:customStyle="1" w:styleId="95">
    <w:name w:val="标题 5 Char"/>
    <w:link w:val="9"/>
    <w:qFormat/>
    <w:uiPriority w:val="0"/>
    <w:rPr>
      <w:rFonts w:ascii="宋体" w:hAnsi="Arial"/>
      <w:bCs/>
      <w:kern w:val="2"/>
      <w:sz w:val="28"/>
    </w:rPr>
  </w:style>
  <w:style w:type="character" w:customStyle="1" w:styleId="96">
    <w:name w:val="标题 4 Char"/>
    <w:link w:val="8"/>
    <w:qFormat/>
    <w:uiPriority w:val="0"/>
    <w:rPr>
      <w:rFonts w:ascii="Arial" w:hAnsi="Arial" w:eastAsia="黑体"/>
      <w:b/>
      <w:bCs/>
      <w:kern w:val="2"/>
      <w:sz w:val="28"/>
      <w:szCs w:val="28"/>
    </w:rPr>
  </w:style>
  <w:style w:type="character" w:customStyle="1" w:styleId="97">
    <w:name w:val="正文文本缩进 3 Char"/>
    <w:link w:val="39"/>
    <w:qFormat/>
    <w:uiPriority w:val="0"/>
    <w:rPr>
      <w:rFonts w:ascii="仿宋_GB2312" w:hAnsi="Arial" w:eastAsia="仿宋_GB2312"/>
      <w:color w:val="000000"/>
      <w:kern w:val="2"/>
      <w:sz w:val="30"/>
    </w:rPr>
  </w:style>
  <w:style w:type="character" w:customStyle="1" w:styleId="98">
    <w:name w:val="正文文本 Char"/>
    <w:link w:val="21"/>
    <w:qFormat/>
    <w:uiPriority w:val="0"/>
    <w:rPr>
      <w:rFonts w:ascii="宋体" w:hAnsi="Arial"/>
      <w:kern w:val="2"/>
      <w:sz w:val="28"/>
    </w:rPr>
  </w:style>
  <w:style w:type="character" w:customStyle="1" w:styleId="99">
    <w:name w:val="文档结构图 Char"/>
    <w:link w:val="16"/>
    <w:semiHidden/>
    <w:qFormat/>
    <w:uiPriority w:val="0"/>
    <w:rPr>
      <w:rFonts w:ascii="Times New Roman" w:hAnsi="Times New Roman"/>
      <w:kern w:val="2"/>
      <w:sz w:val="21"/>
      <w:shd w:val="clear" w:color="auto" w:fill="000080"/>
    </w:rPr>
  </w:style>
  <w:style w:type="character" w:customStyle="1" w:styleId="100">
    <w:name w:val="样式1 Char Char"/>
    <w:link w:val="61"/>
    <w:qFormat/>
    <w:locked/>
    <w:uiPriority w:val="0"/>
    <w:rPr>
      <w:rFonts w:ascii="宋体" w:hAnsi="宋体"/>
      <w:sz w:val="21"/>
    </w:rPr>
  </w:style>
  <w:style w:type="character" w:customStyle="1" w:styleId="101">
    <w:name w:val="批注文字 Char"/>
    <w:link w:val="18"/>
    <w:qFormat/>
    <w:uiPriority w:val="0"/>
    <w:rPr>
      <w:rFonts w:ascii="Times New Roman" w:hAnsi="Times New Roman"/>
      <w:kern w:val="2"/>
      <w:sz w:val="21"/>
    </w:rPr>
  </w:style>
  <w:style w:type="character" w:customStyle="1" w:styleId="102">
    <w:name w:val="页眉 Char"/>
    <w:link w:val="33"/>
    <w:qFormat/>
    <w:uiPriority w:val="0"/>
    <w:rPr>
      <w:rFonts w:ascii="Times New Roman" w:hAnsi="Times New Roman"/>
      <w:kern w:val="2"/>
      <w:sz w:val="18"/>
    </w:rPr>
  </w:style>
  <w:style w:type="character" w:customStyle="1" w:styleId="103">
    <w:name w:val="正文文本 3 Char"/>
    <w:link w:val="20"/>
    <w:qFormat/>
    <w:uiPriority w:val="0"/>
    <w:rPr>
      <w:rFonts w:ascii="黑体" w:hAnsi="Arial" w:eastAsia="黑体"/>
      <w:b/>
      <w:kern w:val="2"/>
      <w:sz w:val="28"/>
    </w:rPr>
  </w:style>
  <w:style w:type="character" w:customStyle="1" w:styleId="104">
    <w:name w:val="标题 1 Char"/>
    <w:link w:val="5"/>
    <w:qFormat/>
    <w:uiPriority w:val="99"/>
    <w:rPr>
      <w:rFonts w:ascii="Times New Roman" w:hAnsi="Times New Roman"/>
      <w:b/>
      <w:bCs/>
      <w:kern w:val="44"/>
      <w:sz w:val="30"/>
      <w:szCs w:val="44"/>
    </w:rPr>
  </w:style>
  <w:style w:type="character" w:customStyle="1" w:styleId="105">
    <w:name w:val="Char Char"/>
    <w:qFormat/>
    <w:uiPriority w:val="99"/>
    <w:rPr>
      <w:rFonts w:cs="Times New Roman"/>
      <w:kern w:val="2"/>
      <w:sz w:val="18"/>
      <w:szCs w:val="18"/>
    </w:rPr>
  </w:style>
  <w:style w:type="character" w:customStyle="1" w:styleId="106">
    <w:name w:val="HTML 预设格式 Char1"/>
    <w:semiHidden/>
    <w:qFormat/>
    <w:uiPriority w:val="99"/>
    <w:rPr>
      <w:rFonts w:ascii="Courier New" w:hAnsi="Courier New" w:cs="Courier New"/>
      <w:kern w:val="2"/>
    </w:rPr>
  </w:style>
  <w:style w:type="character" w:customStyle="1" w:styleId="107">
    <w:name w:val="标题 3 Char"/>
    <w:link w:val="7"/>
    <w:qFormat/>
    <w:uiPriority w:val="0"/>
    <w:rPr>
      <w:rFonts w:ascii="宋体" w:hAnsi="Times New Roman"/>
      <w:b/>
      <w:bCs/>
      <w:kern w:val="2"/>
      <w:sz w:val="32"/>
      <w:szCs w:val="32"/>
    </w:rPr>
  </w:style>
  <w:style w:type="character" w:customStyle="1" w:styleId="108">
    <w:name w:val="标题 2 Char"/>
    <w:link w:val="6"/>
    <w:qFormat/>
    <w:uiPriority w:val="99"/>
    <w:rPr>
      <w:rFonts w:ascii="Arial" w:hAnsi="Arial" w:eastAsia="黑体"/>
      <w:b/>
      <w:bCs/>
      <w:kern w:val="2"/>
      <w:sz w:val="32"/>
      <w:szCs w:val="32"/>
    </w:rPr>
  </w:style>
  <w:style w:type="character" w:customStyle="1" w:styleId="109">
    <w:name w:val="批注框文本 Char"/>
    <w:link w:val="31"/>
    <w:semiHidden/>
    <w:qFormat/>
    <w:uiPriority w:val="99"/>
    <w:rPr>
      <w:rFonts w:ascii="Times New Roman" w:hAnsi="Times New Roman"/>
      <w:kern w:val="2"/>
      <w:sz w:val="18"/>
      <w:szCs w:val="18"/>
    </w:rPr>
  </w:style>
  <w:style w:type="character" w:customStyle="1" w:styleId="110">
    <w:name w:val="正文首行缩进 Char"/>
    <w:link w:val="49"/>
    <w:qFormat/>
    <w:uiPriority w:val="0"/>
    <w:rPr>
      <w:rFonts w:ascii="Arial" w:hAnsi="Arial" w:eastAsia="仿宋_GB2312" w:cs="Arial"/>
      <w:kern w:val="2"/>
      <w:sz w:val="24"/>
      <w:szCs w:val="32"/>
    </w:rPr>
  </w:style>
  <w:style w:type="character" w:customStyle="1" w:styleId="111">
    <w:name w:val="纯文本 Char"/>
    <w:semiHidden/>
    <w:qFormat/>
    <w:uiPriority w:val="99"/>
    <w:rPr>
      <w:rFonts w:ascii="宋体" w:hAnsi="Courier New" w:cs="Courier New"/>
      <w:kern w:val="2"/>
      <w:sz w:val="21"/>
      <w:szCs w:val="21"/>
    </w:rPr>
  </w:style>
  <w:style w:type="paragraph" w:customStyle="1" w:styleId="112">
    <w:name w:val="列出段落1"/>
    <w:basedOn w:val="1"/>
    <w:qFormat/>
    <w:uiPriority w:val="0"/>
    <w:pPr>
      <w:ind w:firstLine="420" w:firstLineChars="200"/>
    </w:pPr>
  </w:style>
  <w:style w:type="paragraph" w:customStyle="1" w:styleId="113">
    <w:name w:val="Normal_1"/>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C8D7B-C913-4948-A320-742049C803C8}">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36</Pages>
  <Words>15367</Words>
  <Characters>15957</Characters>
  <Lines>164</Lines>
  <Paragraphs>46</Paragraphs>
  <TotalTime>8</TotalTime>
  <ScaleCrop>false</ScaleCrop>
  <LinksUpToDate>false</LinksUpToDate>
  <CharactersWithSpaces>16910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2020-10-27T00:59:00Z</dcterms:created>
  <dc:creator>越友中</dc:creator>
  <cp:lastModifiedBy>耶！</cp:lastModifiedBy>
  <cp:lastPrinted>2019-06-21T00:52:00Z</cp:lastPrinted>
  <dcterms:modified xsi:type="dcterms:W3CDTF">2023-03-15T08:48:45Z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E1A9D8D7785447E49907B87D0304C920</vt:lpwstr>
  </property>
</Properties>
</file>